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DA7B" w14:textId="4CA9D06D" w:rsidR="00090325" w:rsidRPr="00090325" w:rsidRDefault="00090325" w:rsidP="00090325">
      <w:pPr>
        <w:spacing w:after="0" w:line="240" w:lineRule="auto"/>
        <w:rPr>
          <w:i/>
          <w:iCs/>
          <w:sz w:val="20"/>
          <w:szCs w:val="20"/>
        </w:rPr>
      </w:pPr>
      <w:r w:rsidRPr="00090325">
        <w:rPr>
          <w:rFonts w:ascii="Calibri" w:hAnsi="Calibri" w:cs="Calibri"/>
          <w:b/>
          <w:bCs/>
          <w:sz w:val="36"/>
          <w:szCs w:val="36"/>
        </w:rPr>
        <w:t>TWQA Code of Ethics</w:t>
      </w:r>
      <w:r w:rsidR="00E15347">
        <w:rPr>
          <w:rFonts w:ascii="Calibri" w:hAnsi="Calibri" w:cs="Calibri"/>
          <w:b/>
          <w:bCs/>
          <w:sz w:val="36"/>
          <w:szCs w:val="36"/>
        </w:rPr>
        <w:t xml:space="preserve"> </w:t>
      </w:r>
      <w:r w:rsidR="00E15347" w:rsidRPr="00E15347">
        <w:rPr>
          <w:rFonts w:ascii="Calibri" w:hAnsi="Calibri" w:cs="Calibri"/>
          <w:sz w:val="16"/>
          <w:szCs w:val="16"/>
        </w:rPr>
        <w:t xml:space="preserve">Rev. </w:t>
      </w:r>
      <w:r w:rsidR="00C54571">
        <w:rPr>
          <w:rFonts w:ascii="Calibri" w:hAnsi="Calibri" w:cs="Calibri"/>
          <w:sz w:val="16"/>
          <w:szCs w:val="16"/>
        </w:rPr>
        <w:t>5</w:t>
      </w:r>
      <w:r w:rsidR="00E15347" w:rsidRPr="00E15347">
        <w:rPr>
          <w:rFonts w:ascii="Calibri" w:hAnsi="Calibri" w:cs="Calibri"/>
          <w:sz w:val="16"/>
          <w:szCs w:val="16"/>
        </w:rPr>
        <w:t>/2024</w:t>
      </w:r>
      <w:r>
        <w:rPr>
          <w:rFonts w:ascii="Calibri" w:hAnsi="Calibri" w:cs="Calibri"/>
          <w:b/>
          <w:bCs/>
          <w:sz w:val="36"/>
          <w:szCs w:val="36"/>
        </w:rPr>
        <w:tab/>
      </w:r>
      <w:r>
        <w:rPr>
          <w:rFonts w:ascii="Calibri" w:hAnsi="Calibri" w:cs="Calibri"/>
          <w:b/>
          <w:bCs/>
          <w:sz w:val="36"/>
          <w:szCs w:val="36"/>
        </w:rPr>
        <w:tab/>
      </w:r>
      <w:r w:rsidR="00AB7119">
        <w:rPr>
          <w:noProof/>
        </w:rPr>
        <w:drawing>
          <wp:inline distT="0" distB="0" distL="0" distR="0" wp14:anchorId="1C3E4F93" wp14:editId="57E9F684">
            <wp:extent cx="503093" cy="263525"/>
            <wp:effectExtent l="0" t="0" r="0" b="3175"/>
            <wp:docPr id="2" name="Picture 1" descr="A map of texas water qual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of texas water qualit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360" cy="271522"/>
                    </a:xfrm>
                    <a:prstGeom prst="rect">
                      <a:avLst/>
                    </a:prstGeom>
                    <a:noFill/>
                    <a:ln>
                      <a:noFill/>
                    </a:ln>
                  </pic:spPr>
                </pic:pic>
              </a:graphicData>
            </a:graphic>
          </wp:inline>
        </w:drawing>
      </w:r>
      <w:r w:rsidRPr="00090325">
        <w:rPr>
          <w:rFonts w:cs="Hind"/>
          <w:color w:val="232C39"/>
          <w:sz w:val="18"/>
          <w:szCs w:val="18"/>
          <w:shd w:val="clear" w:color="auto" w:fill="FFFFFF"/>
        </w:rPr>
        <w:t>2109 Luna Rd. St. 100   Ph: (361) 573-</w:t>
      </w:r>
      <w:r>
        <w:rPr>
          <w:rFonts w:cs="Hind"/>
          <w:color w:val="232C39"/>
          <w:sz w:val="20"/>
          <w:szCs w:val="20"/>
          <w:shd w:val="clear" w:color="auto" w:fill="FFFFFF"/>
        </w:rPr>
        <w:t>6707</w:t>
      </w:r>
    </w:p>
    <w:p w14:paraId="5AEC427C" w14:textId="546BEB1B" w:rsidR="00256D6D" w:rsidRDefault="00090325" w:rsidP="00090325">
      <w:pPr>
        <w:spacing w:after="0" w:line="240" w:lineRule="auto"/>
        <w:rPr>
          <w:rFonts w:cs="Hind"/>
          <w:color w:val="232C39"/>
          <w:sz w:val="18"/>
          <w:szCs w:val="18"/>
          <w:shd w:val="clear" w:color="auto" w:fill="FFFFFF"/>
        </w:rPr>
      </w:pPr>
      <w:r w:rsidRPr="00090325">
        <w:rPr>
          <w:i/>
          <w:iCs/>
          <w:sz w:val="20"/>
          <w:szCs w:val="20"/>
        </w:rPr>
        <w:t>Serving the Texas Water Quality Industry Since 1973</w:t>
      </w:r>
      <w:r>
        <w:rPr>
          <w:i/>
          <w:iCs/>
          <w:sz w:val="20"/>
          <w:szCs w:val="20"/>
        </w:rPr>
        <w:tab/>
      </w:r>
      <w:r>
        <w:rPr>
          <w:i/>
          <w:iCs/>
          <w:sz w:val="20"/>
          <w:szCs w:val="20"/>
        </w:rPr>
        <w:tab/>
      </w:r>
      <w:r w:rsidRPr="00090325">
        <w:rPr>
          <w:sz w:val="18"/>
          <w:szCs w:val="18"/>
        </w:rPr>
        <w:t xml:space="preserve"> </w:t>
      </w:r>
      <w:r w:rsidRPr="00090325">
        <w:rPr>
          <w:rFonts w:cs="Hind"/>
          <w:color w:val="232C39"/>
          <w:sz w:val="18"/>
          <w:szCs w:val="18"/>
          <w:shd w:val="clear" w:color="auto" w:fill="FFFFFF"/>
        </w:rPr>
        <w:t>Carrollton, TX  75006</w:t>
      </w:r>
      <w:r w:rsidR="00640C6E">
        <w:rPr>
          <w:rFonts w:cs="Hind"/>
          <w:color w:val="232C39"/>
          <w:sz w:val="18"/>
          <w:szCs w:val="18"/>
          <w:shd w:val="clear" w:color="auto" w:fill="FFFFFF"/>
        </w:rPr>
        <w:t xml:space="preserve">    </w:t>
      </w:r>
      <w:proofErr w:type="spellStart"/>
      <w:r w:rsidR="00640C6E">
        <w:rPr>
          <w:rFonts w:cs="Hind"/>
          <w:color w:val="232C39"/>
          <w:sz w:val="18"/>
          <w:szCs w:val="18"/>
          <w:shd w:val="clear" w:color="auto" w:fill="FFFFFF"/>
        </w:rPr>
        <w:t>Fx</w:t>
      </w:r>
      <w:proofErr w:type="spellEnd"/>
      <w:r w:rsidR="00640C6E">
        <w:rPr>
          <w:rFonts w:cs="Hind"/>
          <w:color w:val="232C39"/>
          <w:sz w:val="18"/>
          <w:szCs w:val="18"/>
          <w:shd w:val="clear" w:color="auto" w:fill="FFFFFF"/>
        </w:rPr>
        <w:t>: (772) 463-0860</w:t>
      </w:r>
    </w:p>
    <w:p w14:paraId="3EA66D47" w14:textId="0C0A0D57" w:rsidR="00640C6E" w:rsidRDefault="00640C6E" w:rsidP="00090325">
      <w:pPr>
        <w:spacing w:after="0" w:line="240" w:lineRule="auto"/>
        <w:rPr>
          <w:rFonts w:cs="Hind"/>
          <w:color w:val="232C39"/>
          <w:sz w:val="18"/>
          <w:szCs w:val="18"/>
          <w:shd w:val="clear" w:color="auto" w:fill="FFFFFF"/>
        </w:rPr>
      </w:pPr>
      <w:r>
        <w:rPr>
          <w:rFonts w:cs="Hind"/>
          <w:noProof/>
          <w:color w:val="232C39"/>
          <w:sz w:val="18"/>
          <w:szCs w:val="18"/>
        </w:rPr>
        <mc:AlternateContent>
          <mc:Choice Requires="wps">
            <w:drawing>
              <wp:anchor distT="0" distB="0" distL="114300" distR="114300" simplePos="0" relativeHeight="251659264" behindDoc="0" locked="0" layoutInCell="1" allowOverlap="1" wp14:anchorId="78AE7434" wp14:editId="7AB3FCCF">
                <wp:simplePos x="0" y="0"/>
                <wp:positionH relativeFrom="column">
                  <wp:posOffset>19050</wp:posOffset>
                </wp:positionH>
                <wp:positionV relativeFrom="paragraph">
                  <wp:posOffset>50165</wp:posOffset>
                </wp:positionV>
                <wp:extent cx="5867400" cy="0"/>
                <wp:effectExtent l="0" t="0" r="0" b="0"/>
                <wp:wrapNone/>
                <wp:docPr id="59349298" name="Straight Connector 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7DF9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95pt" to="4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3jnAEAAJQDAAAOAAAAZHJzL2Uyb0RvYy54bWysU02P0zAQvSPxHyzfadIVLKu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" strokecolor="#156082 [3204]" strokeweight=".5pt">
                <v:stroke joinstyle="miter"/>
              </v:line>
            </w:pict>
          </mc:Fallback>
        </mc:AlternateContent>
      </w:r>
    </w:p>
    <w:p w14:paraId="4E551992" w14:textId="2F96758A" w:rsidR="00640C6E" w:rsidRPr="00243816" w:rsidRDefault="00640C6E" w:rsidP="00090325">
      <w:p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The Texas Water Quality Association (TWQA) is dedicated to promoting the highest principles of honesty, integrity, fair </w:t>
      </w:r>
      <w:r w:rsidR="007C38D2">
        <w:rPr>
          <w:rFonts w:cs="Hind"/>
          <w:color w:val="232C39"/>
          <w:sz w:val="18"/>
          <w:szCs w:val="18"/>
          <w:shd w:val="clear" w:color="auto" w:fill="FFFFFF"/>
        </w:rPr>
        <w:t>dealing,</w:t>
      </w:r>
      <w:r>
        <w:rPr>
          <w:rFonts w:cs="Hind"/>
          <w:color w:val="232C39"/>
          <w:sz w:val="18"/>
          <w:szCs w:val="18"/>
          <w:shd w:val="clear" w:color="auto" w:fill="FFFFFF"/>
        </w:rPr>
        <w:t xml:space="preserve"> and professionalism in the water quality industry for our state.  We are also equally dedicated to preserving the consuming public’s right to quality water. This Code of Ethics set</w:t>
      </w:r>
      <w:r w:rsidR="007C38D2">
        <w:rPr>
          <w:rFonts w:cs="Hind"/>
          <w:color w:val="232C39"/>
          <w:sz w:val="18"/>
          <w:szCs w:val="18"/>
          <w:shd w:val="clear" w:color="auto" w:fill="FFFFFF"/>
        </w:rPr>
        <w:t>s</w:t>
      </w:r>
      <w:r>
        <w:rPr>
          <w:rFonts w:cs="Hind"/>
          <w:color w:val="232C39"/>
          <w:sz w:val="18"/>
          <w:szCs w:val="18"/>
          <w:shd w:val="clear" w:color="auto" w:fill="FFFFFF"/>
        </w:rPr>
        <w:t xml:space="preserve"> the standards of conduct for TWQA members in their dealings with customers, fellow members, vendors and suppliers, and the public at large.</w:t>
      </w:r>
      <w:r w:rsidR="007C38D2">
        <w:rPr>
          <w:rFonts w:cs="Hind"/>
          <w:color w:val="232C39"/>
          <w:sz w:val="18"/>
          <w:szCs w:val="18"/>
          <w:shd w:val="clear" w:color="auto" w:fill="FFFFFF"/>
        </w:rPr>
        <w:t xml:space="preserve">  The Marketing Obligations and the Logo Usage Policy are incorporated as a part of this Code of Ethics.</w:t>
      </w:r>
      <w:r w:rsidR="00243816">
        <w:rPr>
          <w:rFonts w:cs="Hind"/>
          <w:color w:val="232C39"/>
          <w:sz w:val="18"/>
          <w:szCs w:val="18"/>
          <w:shd w:val="clear" w:color="auto" w:fill="FFFFFF"/>
        </w:rPr>
        <w:t xml:space="preserve"> (</w:t>
      </w:r>
      <w:r w:rsidR="00243816" w:rsidRPr="00243816">
        <w:rPr>
          <w:rFonts w:cs="Hind"/>
          <w:i/>
          <w:iCs/>
          <w:color w:val="232C39"/>
          <w:sz w:val="18"/>
          <w:szCs w:val="18"/>
          <w:shd w:val="clear" w:color="auto" w:fill="FFFFFF"/>
        </w:rPr>
        <w:t>Note:</w:t>
      </w:r>
      <w:r w:rsidR="00243816" w:rsidRPr="00243816">
        <w:rPr>
          <w:rFonts w:cs="Hind"/>
          <w:color w:val="232C39"/>
          <w:sz w:val="18"/>
          <w:szCs w:val="18"/>
          <w:shd w:val="clear" w:color="auto" w:fill="FFFFFF"/>
        </w:rPr>
        <w:t xml:space="preserve"> “</w:t>
      </w:r>
      <w:r w:rsidR="00243816" w:rsidRPr="00243816">
        <w:rPr>
          <w:rFonts w:cs="Hind"/>
          <w:b/>
          <w:bCs/>
          <w:color w:val="232C39"/>
          <w:sz w:val="18"/>
          <w:szCs w:val="18"/>
          <w:shd w:val="clear" w:color="auto" w:fill="FFFFFF"/>
        </w:rPr>
        <w:t>†</w:t>
      </w:r>
      <w:r w:rsidR="00243816" w:rsidRPr="00243816">
        <w:rPr>
          <w:rFonts w:cs="Hind"/>
          <w:color w:val="232C39"/>
          <w:sz w:val="18"/>
          <w:szCs w:val="18"/>
          <w:shd w:val="clear" w:color="auto" w:fill="FFFFFF"/>
        </w:rPr>
        <w:t xml:space="preserve">” </w:t>
      </w:r>
      <w:r w:rsidR="00243816" w:rsidRPr="00243816">
        <w:rPr>
          <w:rFonts w:cs="Hind"/>
          <w:i/>
          <w:iCs/>
          <w:color w:val="232C39"/>
          <w:sz w:val="18"/>
          <w:szCs w:val="18"/>
          <w:shd w:val="clear" w:color="auto" w:fill="FFFFFF"/>
        </w:rPr>
        <w:t>symbol indicates clarifying comments available for the corresponding rule.)</w:t>
      </w:r>
    </w:p>
    <w:p w14:paraId="1477C515" w14:textId="3B6500F3" w:rsidR="00640C6E" w:rsidRDefault="00640C6E" w:rsidP="00090325">
      <w:pPr>
        <w:spacing w:after="0" w:line="240" w:lineRule="auto"/>
        <w:rPr>
          <w:rFonts w:cs="Hind"/>
          <w:color w:val="232C39"/>
          <w:sz w:val="18"/>
          <w:szCs w:val="18"/>
          <w:shd w:val="clear" w:color="auto" w:fill="FFFFFF"/>
        </w:rPr>
      </w:pPr>
      <w:r>
        <w:rPr>
          <w:rFonts w:cs="Hind"/>
          <w:noProof/>
          <w:color w:val="232C39"/>
          <w:sz w:val="18"/>
          <w:szCs w:val="18"/>
        </w:rPr>
        <mc:AlternateContent>
          <mc:Choice Requires="wps">
            <w:drawing>
              <wp:anchor distT="0" distB="0" distL="114300" distR="114300" simplePos="0" relativeHeight="251660288" behindDoc="0" locked="0" layoutInCell="1" allowOverlap="1" wp14:anchorId="2CE23AE7" wp14:editId="72DF7765">
                <wp:simplePos x="0" y="0"/>
                <wp:positionH relativeFrom="column">
                  <wp:posOffset>19050</wp:posOffset>
                </wp:positionH>
                <wp:positionV relativeFrom="paragraph">
                  <wp:posOffset>32385</wp:posOffset>
                </wp:positionV>
                <wp:extent cx="5867400" cy="0"/>
                <wp:effectExtent l="0" t="0" r="0" b="0"/>
                <wp:wrapNone/>
                <wp:docPr id="452367404"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8E5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55pt" to="46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3jnAEAAJQDAAAOAAAAZHJzL2Uyb0RvYy54bWysU02P0zAQvSPxHyzfadIVLKu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" strokecolor="#156082 [3204]" strokeweight=".5pt">
                <v:stroke joinstyle="miter"/>
              </v:line>
            </w:pict>
          </mc:Fallback>
        </mc:AlternateContent>
      </w:r>
    </w:p>
    <w:p w14:paraId="2EF30220" w14:textId="25314DAB" w:rsidR="001A5659" w:rsidRPr="001A5659" w:rsidRDefault="001A5659" w:rsidP="001A5659">
      <w:pPr>
        <w:pStyle w:val="ListParagraph"/>
        <w:spacing w:after="0" w:line="240" w:lineRule="auto"/>
        <w:ind w:hanging="630"/>
        <w:rPr>
          <w:rFonts w:cs="Hind"/>
          <w:b/>
          <w:bCs/>
          <w:color w:val="232C39"/>
          <w:sz w:val="18"/>
          <w:szCs w:val="18"/>
          <w:shd w:val="clear" w:color="auto" w:fill="FFFFFF"/>
        </w:rPr>
      </w:pPr>
      <w:r w:rsidRPr="001A5659">
        <w:rPr>
          <w:rFonts w:cs="Hind"/>
          <w:b/>
          <w:bCs/>
          <w:color w:val="232C39"/>
          <w:sz w:val="18"/>
          <w:szCs w:val="18"/>
          <w:shd w:val="clear" w:color="auto" w:fill="FFFFFF"/>
        </w:rPr>
        <w:t>General Obligations</w:t>
      </w:r>
    </w:p>
    <w:p w14:paraId="47A80FC2" w14:textId="25770923" w:rsidR="00640C6E" w:rsidRDefault="00640C6E"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Members shall be informed of and adhere to all laws</w:t>
      </w:r>
      <w:r w:rsidR="00243816">
        <w:rPr>
          <w:rFonts w:cs="Hind"/>
          <w:color w:val="232C39"/>
          <w:sz w:val="18"/>
          <w:szCs w:val="18"/>
          <w:shd w:val="clear" w:color="auto" w:fill="FFFFFF"/>
        </w:rPr>
        <w:t xml:space="preserve">, statutes, ordinances, </w:t>
      </w:r>
      <w:r w:rsidR="007C38D2">
        <w:rPr>
          <w:rFonts w:cs="Hind"/>
          <w:color w:val="232C39"/>
          <w:sz w:val="18"/>
          <w:szCs w:val="18"/>
          <w:shd w:val="clear" w:color="auto" w:fill="FFFFFF"/>
        </w:rPr>
        <w:t>codes,</w:t>
      </w:r>
      <w:r w:rsidR="00243816">
        <w:rPr>
          <w:rFonts w:cs="Hind"/>
          <w:color w:val="232C39"/>
          <w:sz w:val="18"/>
          <w:szCs w:val="18"/>
          <w:shd w:val="clear" w:color="auto" w:fill="FFFFFF"/>
        </w:rPr>
        <w:t xml:space="preserve"> and regulations applicable to the industry.</w:t>
      </w:r>
      <w:r w:rsidR="00560663">
        <w:rPr>
          <w:rFonts w:cs="Hind"/>
          <w:color w:val="232C39"/>
          <w:sz w:val="18"/>
          <w:szCs w:val="18"/>
          <w:shd w:val="clear" w:color="auto" w:fill="FFFFFF"/>
        </w:rPr>
        <w:t xml:space="preserve"> </w:t>
      </w:r>
      <w:bookmarkStart w:id="0" w:name="_Hlk164171676"/>
      <w:r w:rsidR="00560663" w:rsidRPr="00560663">
        <w:rPr>
          <w:rFonts w:cs="Hind"/>
          <w:b/>
          <w:bCs/>
          <w:color w:val="232C39"/>
          <w:sz w:val="18"/>
          <w:szCs w:val="18"/>
          <w:shd w:val="clear" w:color="auto" w:fill="FFFFFF"/>
        </w:rPr>
        <w:t>†</w:t>
      </w:r>
    </w:p>
    <w:bookmarkEnd w:id="0"/>
    <w:p w14:paraId="2673D7BD" w14:textId="237A07BE" w:rsidR="00243816" w:rsidRDefault="00243816"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Members shall accurately represent </w:t>
      </w:r>
      <w:proofErr w:type="gramStart"/>
      <w:r>
        <w:rPr>
          <w:rFonts w:cs="Hind"/>
          <w:color w:val="232C39"/>
          <w:sz w:val="18"/>
          <w:szCs w:val="18"/>
          <w:shd w:val="clear" w:color="auto" w:fill="FFFFFF"/>
        </w:rPr>
        <w:t>credentials</w:t>
      </w:r>
      <w:proofErr w:type="gramEnd"/>
      <w:r>
        <w:rPr>
          <w:rFonts w:cs="Hind"/>
          <w:color w:val="232C39"/>
          <w:sz w:val="18"/>
          <w:szCs w:val="18"/>
          <w:shd w:val="clear" w:color="auto" w:fill="FFFFFF"/>
        </w:rPr>
        <w:t>, training, experience and abilities of all employees and agents.</w:t>
      </w:r>
    </w:p>
    <w:p w14:paraId="2CB02B23" w14:textId="4C79E961" w:rsidR="00243816" w:rsidRDefault="007C38D2"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w:t>
      </w:r>
      <w:r w:rsidR="00243816">
        <w:rPr>
          <w:rFonts w:cs="Hind"/>
          <w:color w:val="232C39"/>
          <w:sz w:val="18"/>
          <w:szCs w:val="18"/>
          <w:shd w:val="clear" w:color="auto" w:fill="FFFFFF"/>
        </w:rPr>
        <w:t>embers shall ensure that their products or services are properly applied or installed.</w:t>
      </w:r>
    </w:p>
    <w:p w14:paraId="06BDCEA5" w14:textId="2B88CE50" w:rsidR="00243816" w:rsidRDefault="007C38D2"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w:t>
      </w:r>
      <w:r w:rsidR="00243816">
        <w:rPr>
          <w:rFonts w:cs="Hind"/>
          <w:color w:val="232C39"/>
          <w:sz w:val="18"/>
          <w:szCs w:val="18"/>
          <w:shd w:val="clear" w:color="auto" w:fill="FFFFFF"/>
        </w:rPr>
        <w:t>embers shall inform customers of the general maintenance</w:t>
      </w:r>
      <w:r w:rsidR="00CB3D67">
        <w:rPr>
          <w:rFonts w:cs="Hind"/>
          <w:color w:val="232C39"/>
          <w:sz w:val="18"/>
          <w:szCs w:val="18"/>
          <w:shd w:val="clear" w:color="auto" w:fill="FFFFFF"/>
        </w:rPr>
        <w:t xml:space="preserve"> of products</w:t>
      </w:r>
      <w:r w:rsidR="00243816">
        <w:rPr>
          <w:rFonts w:cs="Hind"/>
          <w:color w:val="232C39"/>
          <w:sz w:val="18"/>
          <w:szCs w:val="18"/>
          <w:shd w:val="clear" w:color="auto" w:fill="FFFFFF"/>
        </w:rPr>
        <w:t>, service requirements and related costs.</w:t>
      </w:r>
    </w:p>
    <w:p w14:paraId="70528F54" w14:textId="7D16934B" w:rsidR="00243816" w:rsidRDefault="00243816"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Members should respond in a timely manner to customer complaints.</w:t>
      </w:r>
    </w:p>
    <w:p w14:paraId="1868F67A" w14:textId="67263F61" w:rsidR="00243816" w:rsidRDefault="007C38D2"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w:t>
      </w:r>
      <w:r w:rsidR="00243816">
        <w:rPr>
          <w:rFonts w:cs="Hind"/>
          <w:color w:val="232C39"/>
          <w:sz w:val="18"/>
          <w:szCs w:val="18"/>
          <w:shd w:val="clear" w:color="auto" w:fill="FFFFFF"/>
        </w:rPr>
        <w:t xml:space="preserve">embers should provide </w:t>
      </w:r>
      <w:proofErr w:type="gramStart"/>
      <w:r w:rsidR="00243816">
        <w:rPr>
          <w:rFonts w:cs="Hind"/>
          <w:color w:val="232C39"/>
          <w:sz w:val="18"/>
          <w:szCs w:val="18"/>
          <w:shd w:val="clear" w:color="auto" w:fill="FFFFFF"/>
        </w:rPr>
        <w:t>timely</w:t>
      </w:r>
      <w:proofErr w:type="gramEnd"/>
      <w:r w:rsidR="00243816">
        <w:rPr>
          <w:rFonts w:cs="Hind"/>
          <w:color w:val="232C39"/>
          <w:sz w:val="18"/>
          <w:szCs w:val="18"/>
          <w:shd w:val="clear" w:color="auto" w:fill="FFFFFF"/>
        </w:rPr>
        <w:t xml:space="preserve"> and competent installation and service.</w:t>
      </w:r>
    </w:p>
    <w:p w14:paraId="7F90AD6A" w14:textId="4E806434" w:rsidR="00243816" w:rsidRDefault="00243816"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Members should continually improve their knowledge and skills in the water quality industry.</w:t>
      </w:r>
    </w:p>
    <w:p w14:paraId="0E1B27A6" w14:textId="008E623B" w:rsidR="00243816" w:rsidRDefault="001A5659"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w:t>
      </w:r>
      <w:r w:rsidR="00243816">
        <w:rPr>
          <w:rFonts w:cs="Hind"/>
          <w:color w:val="232C39"/>
          <w:sz w:val="18"/>
          <w:szCs w:val="18"/>
          <w:shd w:val="clear" w:color="auto" w:fill="FFFFFF"/>
        </w:rPr>
        <w:t xml:space="preserve">embers should adhere to and promote the </w:t>
      </w:r>
      <w:r w:rsidR="00D536C8" w:rsidRPr="00D536C8">
        <w:rPr>
          <w:rFonts w:cs="Hind"/>
          <w:i/>
          <w:iCs/>
          <w:color w:val="232C39"/>
          <w:sz w:val="18"/>
          <w:szCs w:val="18"/>
          <w:shd w:val="clear" w:color="auto" w:fill="FFFFFF"/>
        </w:rPr>
        <w:t xml:space="preserve">TWQA </w:t>
      </w:r>
      <w:r w:rsidR="00243816" w:rsidRPr="00D536C8">
        <w:rPr>
          <w:rFonts w:cs="Hind"/>
          <w:i/>
          <w:iCs/>
          <w:color w:val="232C39"/>
          <w:sz w:val="18"/>
          <w:szCs w:val="18"/>
          <w:shd w:val="clear" w:color="auto" w:fill="FFFFFF"/>
        </w:rPr>
        <w:t>Code of Ethics</w:t>
      </w:r>
      <w:r w:rsidR="00243816">
        <w:rPr>
          <w:rFonts w:cs="Hind"/>
          <w:color w:val="232C39"/>
          <w:sz w:val="18"/>
          <w:szCs w:val="18"/>
          <w:shd w:val="clear" w:color="auto" w:fill="FFFFFF"/>
        </w:rPr>
        <w:t xml:space="preserve">, including the </w:t>
      </w:r>
      <w:r w:rsidR="00243816" w:rsidRPr="00D536C8">
        <w:rPr>
          <w:rFonts w:cs="Hind"/>
          <w:i/>
          <w:iCs/>
          <w:color w:val="232C39"/>
          <w:sz w:val="18"/>
          <w:szCs w:val="18"/>
          <w:shd w:val="clear" w:color="auto" w:fill="FFFFFF"/>
        </w:rPr>
        <w:t>Marketing Guidelines</w:t>
      </w:r>
      <w:r w:rsidR="00243816">
        <w:rPr>
          <w:rFonts w:cs="Hind"/>
          <w:color w:val="232C39"/>
          <w:sz w:val="18"/>
          <w:szCs w:val="18"/>
          <w:shd w:val="clear" w:color="auto" w:fill="FFFFFF"/>
        </w:rPr>
        <w:t xml:space="preserve"> and </w:t>
      </w:r>
      <w:r w:rsidR="00243816" w:rsidRPr="00D536C8">
        <w:rPr>
          <w:rFonts w:cs="Hind"/>
          <w:i/>
          <w:iCs/>
          <w:color w:val="232C39"/>
          <w:sz w:val="18"/>
          <w:szCs w:val="18"/>
          <w:shd w:val="clear" w:color="auto" w:fill="FFFFFF"/>
        </w:rPr>
        <w:t>Logo Usage Policy</w:t>
      </w:r>
      <w:r w:rsidR="00243816">
        <w:rPr>
          <w:rFonts w:cs="Hind"/>
          <w:color w:val="232C39"/>
          <w:sz w:val="18"/>
          <w:szCs w:val="18"/>
          <w:shd w:val="clear" w:color="auto" w:fill="FFFFFF"/>
        </w:rPr>
        <w:t>.</w:t>
      </w:r>
    </w:p>
    <w:p w14:paraId="6AE48C0C" w14:textId="7191A46C" w:rsidR="001A5659" w:rsidRDefault="001A5659"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Members should build their business on the merits of their products, </w:t>
      </w:r>
      <w:r w:rsidR="007C38D2">
        <w:rPr>
          <w:rFonts w:cs="Hind"/>
          <w:color w:val="232C39"/>
          <w:sz w:val="18"/>
          <w:szCs w:val="18"/>
          <w:shd w:val="clear" w:color="auto" w:fill="FFFFFF"/>
        </w:rPr>
        <w:t>services,</w:t>
      </w:r>
      <w:r>
        <w:rPr>
          <w:rFonts w:cs="Hind"/>
          <w:color w:val="232C39"/>
          <w:sz w:val="18"/>
          <w:szCs w:val="18"/>
          <w:shd w:val="clear" w:color="auto" w:fill="FFFFFF"/>
        </w:rPr>
        <w:t xml:space="preserve"> and abilities.</w:t>
      </w:r>
    </w:p>
    <w:p w14:paraId="3A655C67" w14:textId="327EA383" w:rsidR="001A5659" w:rsidRPr="001A5659" w:rsidRDefault="001A5659" w:rsidP="001A5659">
      <w:pPr>
        <w:pStyle w:val="ListParagraph"/>
        <w:spacing w:after="0" w:line="240" w:lineRule="auto"/>
        <w:ind w:hanging="630"/>
        <w:rPr>
          <w:rFonts w:cs="Hind"/>
          <w:b/>
          <w:bCs/>
          <w:color w:val="232C39"/>
          <w:sz w:val="18"/>
          <w:szCs w:val="18"/>
          <w:shd w:val="clear" w:color="auto" w:fill="FFFFFF"/>
        </w:rPr>
      </w:pPr>
      <w:r w:rsidRPr="001A5659">
        <w:rPr>
          <w:rFonts w:cs="Hind"/>
          <w:b/>
          <w:bCs/>
          <w:color w:val="232C39"/>
          <w:sz w:val="18"/>
          <w:szCs w:val="18"/>
          <w:shd w:val="clear" w:color="auto" w:fill="FFFFFF"/>
        </w:rPr>
        <w:t xml:space="preserve">Marketing </w:t>
      </w:r>
      <w:r w:rsidR="00EE063E">
        <w:rPr>
          <w:rFonts w:cs="Hind"/>
          <w:b/>
          <w:bCs/>
          <w:color w:val="232C39"/>
          <w:sz w:val="18"/>
          <w:szCs w:val="18"/>
          <w:shd w:val="clear" w:color="auto" w:fill="FFFFFF"/>
        </w:rPr>
        <w:t>Obligations</w:t>
      </w:r>
    </w:p>
    <w:p w14:paraId="11AB5CE2" w14:textId="458B0FD7" w:rsidR="001A5659" w:rsidRDefault="001A5659"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All product performance, </w:t>
      </w:r>
      <w:r w:rsidR="007C38D2">
        <w:rPr>
          <w:rFonts w:cs="Hind"/>
          <w:color w:val="232C39"/>
          <w:sz w:val="18"/>
          <w:szCs w:val="18"/>
          <w:shd w:val="clear" w:color="auto" w:fill="FFFFFF"/>
        </w:rPr>
        <w:t>benefits,</w:t>
      </w:r>
      <w:r>
        <w:rPr>
          <w:rFonts w:cs="Hind"/>
          <w:color w:val="232C39"/>
          <w:sz w:val="18"/>
          <w:szCs w:val="18"/>
          <w:shd w:val="clear" w:color="auto" w:fill="FFFFFF"/>
        </w:rPr>
        <w:t xml:space="preserve"> or claims (whether written or verbal) will be based on factual data obtained from credible sources or from tests using verifiable and appropriate test procedures.  Such data must be available in writing at the time such claims are made.</w:t>
      </w:r>
    </w:p>
    <w:p w14:paraId="395FCD11" w14:textId="11895C76" w:rsidR="001A5659" w:rsidRDefault="001A5659"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Any statements regarding the source water supply, the performance of the water improvement process or the benefit of the products or services will be accurate and not misleading.</w:t>
      </w:r>
    </w:p>
    <w:p w14:paraId="4C0CD9C4" w14:textId="6AEB0C23" w:rsidR="001A5659" w:rsidRDefault="00EE063E"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False or misleading statements (whether written or verbal) may not be used.  This prohibition includes but is not limited to statements which deceptively disparage publicly or privately supplied water, bottled water, or a competitor’s product or systems.  This prohibition also includes the deceptive or misleading use of pictures, exhibits, </w:t>
      </w:r>
      <w:r w:rsidR="007C38D2">
        <w:rPr>
          <w:rFonts w:cs="Hind"/>
          <w:color w:val="232C39"/>
          <w:sz w:val="18"/>
          <w:szCs w:val="18"/>
          <w:shd w:val="clear" w:color="auto" w:fill="FFFFFF"/>
        </w:rPr>
        <w:t>graphs,</w:t>
      </w:r>
      <w:r>
        <w:rPr>
          <w:rFonts w:cs="Hind"/>
          <w:color w:val="232C39"/>
          <w:sz w:val="18"/>
          <w:szCs w:val="18"/>
          <w:shd w:val="clear" w:color="auto" w:fill="FFFFFF"/>
        </w:rPr>
        <w:t xml:space="preserve"> or charts.</w:t>
      </w:r>
    </w:p>
    <w:p w14:paraId="4C676A03" w14:textId="34A67FB5" w:rsidR="00EE063E" w:rsidRDefault="00EE063E"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Sweeping or absolute statements (whether verbal or written) may not be used if they are false or not entirely true or accurate.</w:t>
      </w:r>
    </w:p>
    <w:p w14:paraId="677B5A2A" w14:textId="3CE02286" w:rsidR="00EE063E" w:rsidRDefault="004D7B77"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M</w:t>
      </w:r>
      <w:r w:rsidR="00EE063E">
        <w:rPr>
          <w:rFonts w:cs="Hind"/>
          <w:color w:val="232C39"/>
          <w:sz w:val="18"/>
          <w:szCs w:val="18"/>
          <w:shd w:val="clear" w:color="auto" w:fill="FFFFFF"/>
        </w:rPr>
        <w:t>embers shall take particular care in using the word “pure</w:t>
      </w:r>
      <w:r w:rsidR="00536A31">
        <w:rPr>
          <w:rFonts w:cs="Hind"/>
          <w:color w:val="232C39"/>
          <w:sz w:val="18"/>
          <w:szCs w:val="18"/>
          <w:shd w:val="clear" w:color="auto" w:fill="FFFFFF"/>
        </w:rPr>
        <w:t>” unless</w:t>
      </w:r>
      <w:r w:rsidR="00EE063E">
        <w:rPr>
          <w:rFonts w:cs="Hind"/>
          <w:color w:val="232C39"/>
          <w:sz w:val="18"/>
          <w:szCs w:val="18"/>
          <w:shd w:val="clear" w:color="auto" w:fill="FFFFFF"/>
        </w:rPr>
        <w:t xml:space="preserve"> the word is clearly defined by the member to the consumer.  Similar care should be taken in using terms such as “purification”, “purifier”, “healthy”, “safe”, “clean”, and “clear and free of contaminants”.</w:t>
      </w:r>
    </w:p>
    <w:p w14:paraId="1615C2B5" w14:textId="68746897" w:rsidR="00EE063E" w:rsidRDefault="00EE063E"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Advertisements or marketing materials/practices (whether verbal or written) must be entirely true and accurate.  Each sentence or statement, standing alone and separately considered, </w:t>
      </w:r>
      <w:r w:rsidR="007C38D2">
        <w:rPr>
          <w:rFonts w:cs="Hind"/>
          <w:color w:val="232C39"/>
          <w:sz w:val="18"/>
          <w:szCs w:val="18"/>
          <w:shd w:val="clear" w:color="auto" w:fill="FFFFFF"/>
        </w:rPr>
        <w:t xml:space="preserve">must </w:t>
      </w:r>
      <w:r>
        <w:rPr>
          <w:rFonts w:cs="Hind"/>
          <w:color w:val="232C39"/>
          <w:sz w:val="18"/>
          <w:szCs w:val="18"/>
          <w:shd w:val="clear" w:color="auto" w:fill="FFFFFF"/>
        </w:rPr>
        <w:t>be true.  In addition, the combined overall effect of the materials shall also be accurate and not misleading.</w:t>
      </w:r>
    </w:p>
    <w:p w14:paraId="2935E874" w14:textId="7E80DC6F" w:rsidR="00EE063E" w:rsidRPr="00E15347" w:rsidRDefault="00E15347" w:rsidP="00640C6E">
      <w:pPr>
        <w:pStyle w:val="ListParagraph"/>
        <w:numPr>
          <w:ilvl w:val="0"/>
          <w:numId w:val="1"/>
        </w:numPr>
        <w:spacing w:after="0" w:line="240" w:lineRule="auto"/>
        <w:rPr>
          <w:rFonts w:cs="Hind"/>
          <w:color w:val="232C39"/>
          <w:sz w:val="18"/>
          <w:szCs w:val="18"/>
          <w:shd w:val="clear" w:color="auto" w:fill="FFFFFF"/>
        </w:rPr>
      </w:pPr>
      <w:r w:rsidRPr="00E15347">
        <w:rPr>
          <w:rFonts w:cs="Hind"/>
          <w:color w:val="232C39"/>
          <w:sz w:val="18"/>
          <w:szCs w:val="18"/>
          <w:shd w:val="clear" w:color="auto" w:fill="FFFFFF"/>
        </w:rPr>
        <w:t>All advertisements/marketing materials or practices shall be designed and implemented to minimize the possibility of a consumer being misled.</w:t>
      </w:r>
      <w:r>
        <w:rPr>
          <w:rFonts w:cs="Hind"/>
          <w:color w:val="232C39"/>
          <w:sz w:val="18"/>
          <w:szCs w:val="18"/>
          <w:shd w:val="clear" w:color="auto" w:fill="FFFFFF"/>
        </w:rPr>
        <w:t xml:space="preserve"> No </w:t>
      </w:r>
      <w:r w:rsidR="00EE063E" w:rsidRPr="00E15347">
        <w:rPr>
          <w:rFonts w:cs="Hind"/>
          <w:color w:val="232C39"/>
          <w:sz w:val="18"/>
          <w:szCs w:val="18"/>
          <w:shd w:val="clear" w:color="auto" w:fill="FFFFFF"/>
        </w:rPr>
        <w:t>facts</w:t>
      </w:r>
      <w:r>
        <w:rPr>
          <w:rFonts w:cs="Hind"/>
          <w:color w:val="232C39"/>
          <w:sz w:val="18"/>
          <w:szCs w:val="18"/>
          <w:shd w:val="clear" w:color="auto" w:fill="FFFFFF"/>
        </w:rPr>
        <w:t xml:space="preserve"> will be omitted</w:t>
      </w:r>
      <w:r w:rsidR="00EE063E" w:rsidRPr="00E15347">
        <w:rPr>
          <w:rFonts w:cs="Hind"/>
          <w:color w:val="232C39"/>
          <w:sz w:val="18"/>
          <w:szCs w:val="18"/>
          <w:shd w:val="clear" w:color="auto" w:fill="FFFFFF"/>
        </w:rPr>
        <w:t xml:space="preserve"> from advertising/marketing materials or practices if the effect of that omission is to mislead or mis</w:t>
      </w:r>
      <w:r w:rsidR="007C38D2">
        <w:rPr>
          <w:rFonts w:cs="Hind"/>
          <w:color w:val="232C39"/>
          <w:sz w:val="18"/>
          <w:szCs w:val="18"/>
          <w:shd w:val="clear" w:color="auto" w:fill="FFFFFF"/>
        </w:rPr>
        <w:t>re</w:t>
      </w:r>
      <w:r w:rsidR="00EE063E" w:rsidRPr="00E15347">
        <w:rPr>
          <w:rFonts w:cs="Hind"/>
          <w:color w:val="232C39"/>
          <w:sz w:val="18"/>
          <w:szCs w:val="18"/>
          <w:shd w:val="clear" w:color="auto" w:fill="FFFFFF"/>
        </w:rPr>
        <w:t>present.</w:t>
      </w:r>
    </w:p>
    <w:p w14:paraId="3E5FF7C3" w14:textId="1D758147" w:rsidR="000F17D8" w:rsidRDefault="000F17D8" w:rsidP="00640C6E">
      <w:pPr>
        <w:pStyle w:val="ListParagraph"/>
        <w:numPr>
          <w:ilvl w:val="0"/>
          <w:numId w:val="1"/>
        </w:numPr>
        <w:spacing w:after="0" w:line="240" w:lineRule="auto"/>
        <w:rPr>
          <w:rFonts w:cs="Hind"/>
          <w:color w:val="232C39"/>
          <w:sz w:val="18"/>
          <w:szCs w:val="18"/>
          <w:shd w:val="clear" w:color="auto" w:fill="FFFFFF"/>
        </w:rPr>
      </w:pPr>
      <w:r w:rsidRPr="000F17D8">
        <w:rPr>
          <w:rFonts w:cs="Hind"/>
          <w:color w:val="232C39"/>
          <w:sz w:val="18"/>
          <w:szCs w:val="18"/>
          <w:shd w:val="clear" w:color="auto" w:fill="FFFFFF"/>
        </w:rPr>
        <w:t>A</w:t>
      </w:r>
      <w:r>
        <w:rPr>
          <w:rFonts w:cs="Hind"/>
          <w:color w:val="232C39"/>
          <w:sz w:val="18"/>
          <w:szCs w:val="18"/>
          <w:shd w:val="clear" w:color="auto" w:fill="FFFFFF"/>
        </w:rPr>
        <w:t>n</w:t>
      </w:r>
      <w:r w:rsidRPr="000F17D8">
        <w:rPr>
          <w:rFonts w:cs="Hind"/>
          <w:color w:val="232C39"/>
          <w:sz w:val="18"/>
          <w:szCs w:val="18"/>
          <w:shd w:val="clear" w:color="auto" w:fill="FFFFFF"/>
        </w:rPr>
        <w:t xml:space="preserve"> asterisk may be used to direct attention to additional information about a word or term which is not in itself inherently </w:t>
      </w:r>
      <w:r w:rsidR="00384D7E">
        <w:rPr>
          <w:rFonts w:cs="Hind"/>
          <w:color w:val="232C39"/>
          <w:sz w:val="18"/>
          <w:szCs w:val="18"/>
          <w:shd w:val="clear" w:color="auto" w:fill="FFFFFF"/>
        </w:rPr>
        <w:t xml:space="preserve">misleading or </w:t>
      </w:r>
      <w:r w:rsidRPr="000F17D8">
        <w:rPr>
          <w:rFonts w:cs="Hind"/>
          <w:color w:val="232C39"/>
          <w:sz w:val="18"/>
          <w:szCs w:val="18"/>
          <w:shd w:val="clear" w:color="auto" w:fill="FFFFFF"/>
        </w:rPr>
        <w:t>deceptive.  The asterisk or other referenced symbols shall not be used as a means of contradicting or substantially changing the meaning of statements or graphic portrayals.</w:t>
      </w:r>
    </w:p>
    <w:p w14:paraId="0664BE87" w14:textId="54DD4B63" w:rsidR="00E15347" w:rsidRDefault="00E15347"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Testing devices or techniques used to test water for the presence of hardness, chlorine, </w:t>
      </w:r>
      <w:r w:rsidR="007C38D2">
        <w:rPr>
          <w:rFonts w:cs="Hind"/>
          <w:color w:val="232C39"/>
          <w:sz w:val="18"/>
          <w:szCs w:val="18"/>
          <w:shd w:val="clear" w:color="auto" w:fill="FFFFFF"/>
        </w:rPr>
        <w:t>color,</w:t>
      </w:r>
      <w:r>
        <w:rPr>
          <w:rFonts w:cs="Hind"/>
          <w:color w:val="232C39"/>
          <w:sz w:val="18"/>
          <w:szCs w:val="18"/>
          <w:shd w:val="clear" w:color="auto" w:fill="FFFFFF"/>
        </w:rPr>
        <w:t xml:space="preserve"> or other characteristics may not be used for advertising or sales unless the </w:t>
      </w:r>
      <w:r w:rsidR="00D90680">
        <w:rPr>
          <w:rFonts w:cs="Hind"/>
          <w:color w:val="232C39"/>
          <w:sz w:val="18"/>
          <w:szCs w:val="18"/>
          <w:shd w:val="clear" w:color="auto" w:fill="FFFFFF"/>
        </w:rPr>
        <w:t xml:space="preserve">testing devices or techniques are independently proven to provide fair and accurate results </w:t>
      </w:r>
      <w:r w:rsidR="00807E12">
        <w:rPr>
          <w:rFonts w:cs="Hind"/>
          <w:color w:val="232C39"/>
          <w:sz w:val="18"/>
          <w:szCs w:val="18"/>
          <w:shd w:val="clear" w:color="auto" w:fill="FFFFFF"/>
        </w:rPr>
        <w:t>and the</w:t>
      </w:r>
      <w:r w:rsidR="00D90680">
        <w:rPr>
          <w:rFonts w:cs="Hind"/>
          <w:color w:val="232C39"/>
          <w:sz w:val="18"/>
          <w:szCs w:val="18"/>
          <w:shd w:val="clear" w:color="auto" w:fill="FFFFFF"/>
        </w:rPr>
        <w:t xml:space="preserve"> </w:t>
      </w:r>
      <w:r>
        <w:rPr>
          <w:rFonts w:cs="Hind"/>
          <w:color w:val="232C39"/>
          <w:sz w:val="18"/>
          <w:szCs w:val="18"/>
          <w:shd w:val="clear" w:color="auto" w:fill="FFFFFF"/>
        </w:rPr>
        <w:t xml:space="preserve">consumer is </w:t>
      </w:r>
      <w:r w:rsidR="00CE0D81">
        <w:rPr>
          <w:rFonts w:cs="Hind"/>
          <w:color w:val="232C39"/>
          <w:sz w:val="18"/>
          <w:szCs w:val="18"/>
          <w:shd w:val="clear" w:color="auto" w:fill="FFFFFF"/>
        </w:rPr>
        <w:t xml:space="preserve">fully </w:t>
      </w:r>
      <w:r>
        <w:rPr>
          <w:rFonts w:cs="Hind"/>
          <w:color w:val="232C39"/>
          <w:sz w:val="18"/>
          <w:szCs w:val="18"/>
          <w:shd w:val="clear" w:color="auto" w:fill="FFFFFF"/>
        </w:rPr>
        <w:t>informed of the material aspects of that test, including its limitations.</w:t>
      </w:r>
    </w:p>
    <w:p w14:paraId="5091C1FD" w14:textId="77777777" w:rsidR="00560663" w:rsidRPr="00560663" w:rsidRDefault="00E15347" w:rsidP="00560663">
      <w:pPr>
        <w:pStyle w:val="ListParagraph"/>
        <w:numPr>
          <w:ilvl w:val="0"/>
          <w:numId w:val="1"/>
        </w:numPr>
        <w:rPr>
          <w:rFonts w:cs="Hind"/>
          <w:b/>
          <w:bCs/>
          <w:color w:val="232C39"/>
          <w:sz w:val="18"/>
          <w:szCs w:val="18"/>
          <w:shd w:val="clear" w:color="auto" w:fill="FFFFFF"/>
        </w:rPr>
      </w:pPr>
      <w:r w:rsidRPr="00560663">
        <w:rPr>
          <w:rFonts w:cs="Hind"/>
          <w:color w:val="232C39"/>
          <w:sz w:val="18"/>
          <w:szCs w:val="18"/>
          <w:shd w:val="clear" w:color="auto" w:fill="FFFFFF"/>
        </w:rPr>
        <w:t>All statements of warranty or guarantee shall conform with relevant state and federal law.</w:t>
      </w:r>
      <w:r w:rsidR="00560663" w:rsidRPr="00560663">
        <w:rPr>
          <w:rFonts w:cs="Hind"/>
          <w:color w:val="232C39"/>
          <w:sz w:val="18"/>
          <w:szCs w:val="18"/>
          <w:shd w:val="clear" w:color="auto" w:fill="FFFFFF"/>
        </w:rPr>
        <w:t xml:space="preserve"> </w:t>
      </w:r>
      <w:r w:rsidR="00560663" w:rsidRPr="00560663">
        <w:rPr>
          <w:rFonts w:cs="Hind"/>
          <w:b/>
          <w:bCs/>
          <w:color w:val="232C39"/>
          <w:sz w:val="18"/>
          <w:szCs w:val="18"/>
          <w:shd w:val="clear" w:color="auto" w:fill="FFFFFF"/>
        </w:rPr>
        <w:t>†</w:t>
      </w:r>
    </w:p>
    <w:p w14:paraId="670D4E00" w14:textId="77777777" w:rsidR="00560663" w:rsidRPr="00560663" w:rsidRDefault="00E15347" w:rsidP="00560663">
      <w:pPr>
        <w:pStyle w:val="ListParagraph"/>
        <w:numPr>
          <w:ilvl w:val="0"/>
          <w:numId w:val="1"/>
        </w:numPr>
        <w:rPr>
          <w:rFonts w:cs="Hind"/>
          <w:b/>
          <w:bCs/>
          <w:color w:val="232C39"/>
          <w:sz w:val="18"/>
          <w:szCs w:val="18"/>
          <w:shd w:val="clear" w:color="auto" w:fill="FFFFFF"/>
        </w:rPr>
      </w:pPr>
      <w:r w:rsidRPr="00560663">
        <w:rPr>
          <w:rFonts w:cs="Hind"/>
          <w:color w:val="232C39"/>
          <w:sz w:val="18"/>
          <w:szCs w:val="18"/>
          <w:shd w:val="clear" w:color="auto" w:fill="FFFFFF"/>
        </w:rPr>
        <w:t>All endorsements and testimonials shall conf</w:t>
      </w:r>
      <w:r w:rsidR="007C38D2" w:rsidRPr="00560663">
        <w:rPr>
          <w:rFonts w:cs="Hind"/>
          <w:color w:val="232C39"/>
          <w:sz w:val="18"/>
          <w:szCs w:val="18"/>
          <w:shd w:val="clear" w:color="auto" w:fill="FFFFFF"/>
        </w:rPr>
        <w:t>o</w:t>
      </w:r>
      <w:r w:rsidRPr="00560663">
        <w:rPr>
          <w:rFonts w:cs="Hind"/>
          <w:color w:val="232C39"/>
          <w:sz w:val="18"/>
          <w:szCs w:val="18"/>
          <w:shd w:val="clear" w:color="auto" w:fill="FFFFFF"/>
        </w:rPr>
        <w:t>rm with the U.S. Federal Trade Commission guidelines on that subject.</w:t>
      </w:r>
      <w:r w:rsidR="00560663" w:rsidRPr="00560663">
        <w:rPr>
          <w:rFonts w:cs="Hind"/>
          <w:color w:val="232C39"/>
          <w:sz w:val="18"/>
          <w:szCs w:val="18"/>
          <w:shd w:val="clear" w:color="auto" w:fill="FFFFFF"/>
        </w:rPr>
        <w:t xml:space="preserve"> </w:t>
      </w:r>
      <w:r w:rsidR="00560663" w:rsidRPr="00560663">
        <w:rPr>
          <w:rFonts w:cs="Hind"/>
          <w:b/>
          <w:bCs/>
          <w:color w:val="232C39"/>
          <w:sz w:val="18"/>
          <w:szCs w:val="18"/>
          <w:shd w:val="clear" w:color="auto" w:fill="FFFFFF"/>
        </w:rPr>
        <w:t>†</w:t>
      </w:r>
    </w:p>
    <w:p w14:paraId="303CD8FA" w14:textId="77777777" w:rsidR="00560663" w:rsidRPr="009E4CD9" w:rsidRDefault="00E15347" w:rsidP="00560663">
      <w:pPr>
        <w:pStyle w:val="ListParagraph"/>
        <w:numPr>
          <w:ilvl w:val="0"/>
          <w:numId w:val="1"/>
        </w:numPr>
        <w:rPr>
          <w:rFonts w:cs="Hind"/>
          <w:color w:val="232C39"/>
          <w:sz w:val="18"/>
          <w:szCs w:val="18"/>
          <w:shd w:val="clear" w:color="auto" w:fill="FFFFFF"/>
        </w:rPr>
      </w:pPr>
      <w:r w:rsidRPr="00560663">
        <w:rPr>
          <w:rFonts w:cs="Hind"/>
          <w:color w:val="232C39"/>
          <w:sz w:val="18"/>
          <w:szCs w:val="18"/>
          <w:shd w:val="clear" w:color="auto" w:fill="FFFFFF"/>
        </w:rPr>
        <w:t xml:space="preserve">All advertisements/marketing materials and practices making environmental or “green” claims must comply with the U.S. Federal Trade Commission’s </w:t>
      </w:r>
      <w:r w:rsidRPr="00560663">
        <w:rPr>
          <w:rFonts w:cs="Hind"/>
          <w:i/>
          <w:iCs/>
          <w:color w:val="232C39"/>
          <w:sz w:val="18"/>
          <w:szCs w:val="18"/>
          <w:shd w:val="clear" w:color="auto" w:fill="FFFFFF"/>
        </w:rPr>
        <w:t>Guides for the Use of Environmental Marketing Claims</w:t>
      </w:r>
      <w:r w:rsidRPr="00560663">
        <w:rPr>
          <w:rFonts w:cs="Hind"/>
          <w:color w:val="232C39"/>
          <w:sz w:val="18"/>
          <w:szCs w:val="18"/>
          <w:shd w:val="clear" w:color="auto" w:fill="FFFFFF"/>
        </w:rPr>
        <w:t xml:space="preserve"> (“Green Guides”).</w:t>
      </w:r>
      <w:r w:rsidR="00560663" w:rsidRPr="00560663">
        <w:rPr>
          <w:rFonts w:cs="Hind"/>
          <w:b/>
          <w:bCs/>
          <w:color w:val="232C39"/>
          <w:sz w:val="18"/>
          <w:szCs w:val="18"/>
          <w:shd w:val="clear" w:color="auto" w:fill="FFFFFF"/>
        </w:rPr>
        <w:t xml:space="preserve"> †</w:t>
      </w:r>
    </w:p>
    <w:p w14:paraId="56E10420" w14:textId="3C2244C0" w:rsidR="006E3702" w:rsidRPr="006E3702" w:rsidRDefault="006E3702" w:rsidP="006E3702">
      <w:pPr>
        <w:spacing w:after="0" w:line="240" w:lineRule="auto"/>
        <w:rPr>
          <w:rFonts w:cs="Hind"/>
          <w:b/>
          <w:bCs/>
          <w:color w:val="232C39"/>
          <w:sz w:val="18"/>
          <w:szCs w:val="18"/>
          <w:shd w:val="clear" w:color="auto" w:fill="FFFFFF"/>
        </w:rPr>
      </w:pPr>
      <w:r w:rsidRPr="006E3702">
        <w:rPr>
          <w:rFonts w:cs="Hind"/>
          <w:b/>
          <w:bCs/>
          <w:color w:val="232C39"/>
          <w:sz w:val="18"/>
          <w:szCs w:val="18"/>
          <w:shd w:val="clear" w:color="auto" w:fill="FFFFFF"/>
        </w:rPr>
        <w:lastRenderedPageBreak/>
        <w:t>Logo Usage</w:t>
      </w:r>
      <w:r w:rsidR="00377641">
        <w:rPr>
          <w:rFonts w:cs="Hind"/>
          <w:b/>
          <w:bCs/>
          <w:color w:val="232C39"/>
          <w:sz w:val="18"/>
          <w:szCs w:val="18"/>
          <w:shd w:val="clear" w:color="auto" w:fill="FFFFFF"/>
        </w:rPr>
        <w:t xml:space="preserve"> Policy</w:t>
      </w:r>
    </w:p>
    <w:p w14:paraId="2D78A426" w14:textId="4D70952D" w:rsidR="006E3702" w:rsidRDefault="006E3702" w:rsidP="00640C6E">
      <w:pPr>
        <w:pStyle w:val="ListParagraph"/>
        <w:numPr>
          <w:ilvl w:val="0"/>
          <w:numId w:val="1"/>
        </w:numPr>
        <w:spacing w:after="0" w:line="240" w:lineRule="auto"/>
        <w:rPr>
          <w:rFonts w:cs="Hind"/>
          <w:color w:val="232C39"/>
          <w:sz w:val="18"/>
          <w:szCs w:val="18"/>
          <w:shd w:val="clear" w:color="auto" w:fill="FFFFFF"/>
        </w:rPr>
      </w:pPr>
      <w:r>
        <w:rPr>
          <w:rFonts w:cs="Hind"/>
          <w:color w:val="232C39"/>
          <w:sz w:val="18"/>
          <w:szCs w:val="18"/>
          <w:shd w:val="clear" w:color="auto" w:fill="FFFFFF"/>
        </w:rPr>
        <w:t xml:space="preserve">Use of the TWQA Member </w:t>
      </w:r>
      <w:r w:rsidR="00D536C8">
        <w:rPr>
          <w:rFonts w:cs="Hind"/>
          <w:color w:val="232C39"/>
          <w:sz w:val="18"/>
          <w:szCs w:val="18"/>
          <w:shd w:val="clear" w:color="auto" w:fill="FFFFFF"/>
        </w:rPr>
        <w:t>l</w:t>
      </w:r>
      <w:r>
        <w:rPr>
          <w:rFonts w:cs="Hind"/>
          <w:color w:val="232C39"/>
          <w:sz w:val="18"/>
          <w:szCs w:val="18"/>
          <w:shd w:val="clear" w:color="auto" w:fill="FFFFFF"/>
        </w:rPr>
        <w:t>ogo means:</w:t>
      </w:r>
    </w:p>
    <w:p w14:paraId="42636CE8" w14:textId="7D99546E" w:rsidR="006E3702" w:rsidRDefault="006E3702" w:rsidP="006E3702">
      <w:pPr>
        <w:pStyle w:val="ListParagraph"/>
        <w:numPr>
          <w:ilvl w:val="0"/>
          <w:numId w:val="3"/>
        </w:numPr>
        <w:tabs>
          <w:tab w:val="left" w:pos="720"/>
        </w:tabs>
        <w:spacing w:after="0" w:line="240" w:lineRule="auto"/>
        <w:ind w:left="1080"/>
        <w:rPr>
          <w:rFonts w:cs="Hind"/>
          <w:color w:val="232C39"/>
          <w:sz w:val="18"/>
          <w:szCs w:val="18"/>
          <w:shd w:val="clear" w:color="auto" w:fill="FFFFFF"/>
        </w:rPr>
      </w:pPr>
      <w:r>
        <w:rPr>
          <w:rFonts w:cs="Hind"/>
          <w:color w:val="232C39"/>
          <w:sz w:val="18"/>
          <w:szCs w:val="18"/>
          <w:shd w:val="clear" w:color="auto" w:fill="FFFFFF"/>
        </w:rPr>
        <w:t xml:space="preserve">TWQA members agree to adhere to the </w:t>
      </w:r>
      <w:r w:rsidRPr="00D536C8">
        <w:rPr>
          <w:rFonts w:cs="Hind"/>
          <w:i/>
          <w:iCs/>
          <w:color w:val="232C39"/>
          <w:sz w:val="18"/>
          <w:szCs w:val="18"/>
          <w:shd w:val="clear" w:color="auto" w:fill="FFFFFF"/>
        </w:rPr>
        <w:t>TWQA Code of Ethics</w:t>
      </w:r>
      <w:r w:rsidR="004D7B77">
        <w:rPr>
          <w:rFonts w:cs="Hind"/>
          <w:color w:val="232C39"/>
          <w:sz w:val="18"/>
          <w:szCs w:val="18"/>
          <w:shd w:val="clear" w:color="auto" w:fill="FFFFFF"/>
        </w:rPr>
        <w:t>.</w:t>
      </w:r>
    </w:p>
    <w:p w14:paraId="2126722F" w14:textId="0E76C239" w:rsidR="006E3702" w:rsidRDefault="006E3702" w:rsidP="006E3702">
      <w:pPr>
        <w:pStyle w:val="ListParagraph"/>
        <w:numPr>
          <w:ilvl w:val="0"/>
          <w:numId w:val="3"/>
        </w:numPr>
        <w:tabs>
          <w:tab w:val="left" w:pos="720"/>
        </w:tabs>
        <w:spacing w:after="0" w:line="240" w:lineRule="auto"/>
        <w:ind w:left="1080"/>
        <w:rPr>
          <w:rFonts w:cs="Hind"/>
          <w:color w:val="232C39"/>
          <w:sz w:val="18"/>
          <w:szCs w:val="18"/>
          <w:shd w:val="clear" w:color="auto" w:fill="FFFFFF"/>
        </w:rPr>
      </w:pPr>
      <w:r>
        <w:rPr>
          <w:rFonts w:cs="Hind"/>
          <w:color w:val="232C39"/>
          <w:sz w:val="18"/>
          <w:szCs w:val="18"/>
          <w:shd w:val="clear" w:color="auto" w:fill="FFFFFF"/>
        </w:rPr>
        <w:t xml:space="preserve">TWQA Member </w:t>
      </w:r>
      <w:r w:rsidR="00D536C8">
        <w:rPr>
          <w:rFonts w:cs="Hind"/>
          <w:color w:val="232C39"/>
          <w:sz w:val="18"/>
          <w:szCs w:val="18"/>
          <w:shd w:val="clear" w:color="auto" w:fill="FFFFFF"/>
        </w:rPr>
        <w:t>l</w:t>
      </w:r>
      <w:r>
        <w:rPr>
          <w:rFonts w:cs="Hind"/>
          <w:color w:val="232C39"/>
          <w:sz w:val="18"/>
          <w:szCs w:val="18"/>
          <w:shd w:val="clear" w:color="auto" w:fill="FFFFFF"/>
        </w:rPr>
        <w:t xml:space="preserve">ogo </w:t>
      </w:r>
      <w:r w:rsidR="00D536C8">
        <w:rPr>
          <w:rFonts w:cs="Hind"/>
          <w:color w:val="232C39"/>
          <w:sz w:val="18"/>
          <w:szCs w:val="18"/>
          <w:shd w:val="clear" w:color="auto" w:fill="FFFFFF"/>
        </w:rPr>
        <w:t xml:space="preserve">usage </w:t>
      </w:r>
      <w:r>
        <w:rPr>
          <w:rFonts w:cs="Hind"/>
          <w:color w:val="232C39"/>
          <w:sz w:val="18"/>
          <w:szCs w:val="18"/>
          <w:shd w:val="clear" w:color="auto" w:fill="FFFFFF"/>
        </w:rPr>
        <w:t xml:space="preserve">means only that the user is a TWQA member.  It should not be misrepresented to others in the industry or to the </w:t>
      </w:r>
      <w:r w:rsidR="007C38D2">
        <w:rPr>
          <w:rFonts w:cs="Hind"/>
          <w:color w:val="232C39"/>
          <w:sz w:val="18"/>
          <w:szCs w:val="18"/>
          <w:shd w:val="clear" w:color="auto" w:fill="FFFFFF"/>
        </w:rPr>
        <w:t>public</w:t>
      </w:r>
      <w:r>
        <w:rPr>
          <w:rFonts w:cs="Hind"/>
          <w:color w:val="232C39"/>
          <w:sz w:val="18"/>
          <w:szCs w:val="18"/>
          <w:shd w:val="clear" w:color="auto" w:fill="FFFFFF"/>
        </w:rPr>
        <w:t xml:space="preserve"> as anything </w:t>
      </w:r>
      <w:proofErr w:type="gramStart"/>
      <w:r>
        <w:rPr>
          <w:rFonts w:cs="Hind"/>
          <w:color w:val="232C39"/>
          <w:sz w:val="18"/>
          <w:szCs w:val="18"/>
          <w:shd w:val="clear" w:color="auto" w:fill="FFFFFF"/>
        </w:rPr>
        <w:t>more</w:t>
      </w:r>
      <w:proofErr w:type="gramEnd"/>
      <w:r>
        <w:rPr>
          <w:rFonts w:cs="Hind"/>
          <w:color w:val="232C39"/>
          <w:sz w:val="18"/>
          <w:szCs w:val="18"/>
          <w:shd w:val="clear" w:color="auto" w:fill="FFFFFF"/>
        </w:rPr>
        <w:t>.</w:t>
      </w:r>
    </w:p>
    <w:p w14:paraId="1A4055D1" w14:textId="62980F9F" w:rsidR="00640C6E" w:rsidRPr="006E3702" w:rsidRDefault="006E3702" w:rsidP="00090325">
      <w:pPr>
        <w:pStyle w:val="ListParagraph"/>
        <w:numPr>
          <w:ilvl w:val="0"/>
          <w:numId w:val="1"/>
        </w:numPr>
        <w:spacing w:after="0" w:line="240" w:lineRule="auto"/>
        <w:rPr>
          <w:rFonts w:ascii="Calibri" w:hAnsi="Calibri" w:cs="Calibri"/>
          <w:b/>
          <w:bCs/>
          <w:sz w:val="20"/>
          <w:szCs w:val="20"/>
        </w:rPr>
      </w:pPr>
      <w:r w:rsidRPr="006E3702">
        <w:rPr>
          <w:rFonts w:cs="Hind"/>
          <w:color w:val="232C39"/>
          <w:sz w:val="18"/>
          <w:szCs w:val="18"/>
          <w:shd w:val="clear" w:color="auto" w:fill="FFFFFF"/>
        </w:rPr>
        <w:t xml:space="preserve">Use of the TWQA Member </w:t>
      </w:r>
      <w:r w:rsidR="00D536C8">
        <w:rPr>
          <w:rFonts w:cs="Hind"/>
          <w:color w:val="232C39"/>
          <w:sz w:val="18"/>
          <w:szCs w:val="18"/>
          <w:shd w:val="clear" w:color="auto" w:fill="FFFFFF"/>
        </w:rPr>
        <w:t>l</w:t>
      </w:r>
      <w:r w:rsidRPr="006E3702">
        <w:rPr>
          <w:rFonts w:cs="Hind"/>
          <w:color w:val="232C39"/>
          <w:sz w:val="18"/>
          <w:szCs w:val="18"/>
          <w:shd w:val="clear" w:color="auto" w:fill="FFFFFF"/>
        </w:rPr>
        <w:t xml:space="preserve">ogo </w:t>
      </w:r>
      <w:r w:rsidRPr="004D7B77">
        <w:rPr>
          <w:rFonts w:cs="Hind"/>
          <w:b/>
          <w:bCs/>
          <w:color w:val="232C39"/>
          <w:sz w:val="18"/>
          <w:szCs w:val="18"/>
          <w:shd w:val="clear" w:color="auto" w:fill="FFFFFF"/>
        </w:rPr>
        <w:t>does not mean</w:t>
      </w:r>
      <w:r w:rsidRPr="006E3702">
        <w:rPr>
          <w:rFonts w:cs="Hind"/>
          <w:color w:val="232C39"/>
          <w:sz w:val="18"/>
          <w:szCs w:val="18"/>
          <w:shd w:val="clear" w:color="auto" w:fill="FFFFFF"/>
        </w:rPr>
        <w:t>:</w:t>
      </w:r>
    </w:p>
    <w:p w14:paraId="74BA9625" w14:textId="20764B7F" w:rsidR="006E3702" w:rsidRPr="003E255F" w:rsidRDefault="006E3702" w:rsidP="006E3702">
      <w:pPr>
        <w:pStyle w:val="ListParagraph"/>
        <w:numPr>
          <w:ilvl w:val="0"/>
          <w:numId w:val="4"/>
        </w:numPr>
        <w:spacing w:after="0" w:line="240" w:lineRule="auto"/>
        <w:ind w:left="1080"/>
        <w:rPr>
          <w:rFonts w:ascii="Calibri" w:hAnsi="Calibri" w:cs="Calibri"/>
          <w:sz w:val="20"/>
          <w:szCs w:val="20"/>
        </w:rPr>
      </w:pPr>
      <w:r w:rsidRPr="003E255F">
        <w:rPr>
          <w:rFonts w:ascii="Calibri" w:hAnsi="Calibri" w:cs="Calibri"/>
          <w:sz w:val="20"/>
          <w:szCs w:val="20"/>
        </w:rPr>
        <w:t xml:space="preserve">Certification, accreditation, or approval of a company, an individual, a </w:t>
      </w:r>
      <w:r w:rsidR="007C38D2" w:rsidRPr="003E255F">
        <w:rPr>
          <w:rFonts w:ascii="Calibri" w:hAnsi="Calibri" w:cs="Calibri"/>
          <w:sz w:val="20"/>
          <w:szCs w:val="20"/>
        </w:rPr>
        <w:t>process,</w:t>
      </w:r>
      <w:r w:rsidRPr="003E255F">
        <w:rPr>
          <w:rFonts w:ascii="Calibri" w:hAnsi="Calibri" w:cs="Calibri"/>
          <w:sz w:val="20"/>
          <w:szCs w:val="20"/>
        </w:rPr>
        <w:t xml:space="preserve"> or a product</w:t>
      </w:r>
      <w:r w:rsidR="003E255F" w:rsidRPr="003E255F">
        <w:rPr>
          <w:rFonts w:ascii="Calibri" w:hAnsi="Calibri" w:cs="Calibri"/>
          <w:sz w:val="20"/>
          <w:szCs w:val="20"/>
        </w:rPr>
        <w:t>.</w:t>
      </w:r>
    </w:p>
    <w:p w14:paraId="30D2E9FC" w14:textId="768FBDF5" w:rsidR="006E3702" w:rsidRPr="003E255F" w:rsidRDefault="007C38D2" w:rsidP="006E3702">
      <w:pPr>
        <w:pStyle w:val="ListParagraph"/>
        <w:numPr>
          <w:ilvl w:val="0"/>
          <w:numId w:val="4"/>
        </w:numPr>
        <w:spacing w:after="0" w:line="240" w:lineRule="auto"/>
        <w:ind w:left="1080"/>
        <w:rPr>
          <w:rFonts w:ascii="Calibri" w:hAnsi="Calibri" w:cs="Calibri"/>
          <w:sz w:val="20"/>
          <w:szCs w:val="20"/>
        </w:rPr>
      </w:pPr>
      <w:r w:rsidRPr="003E255F">
        <w:rPr>
          <w:rFonts w:ascii="Calibri" w:hAnsi="Calibri" w:cs="Calibri"/>
          <w:sz w:val="20"/>
          <w:szCs w:val="20"/>
        </w:rPr>
        <w:t>TWQA</w:t>
      </w:r>
      <w:r w:rsidR="006E3702" w:rsidRPr="003E255F">
        <w:rPr>
          <w:rFonts w:ascii="Calibri" w:hAnsi="Calibri" w:cs="Calibri"/>
          <w:sz w:val="20"/>
          <w:szCs w:val="20"/>
        </w:rPr>
        <w:t xml:space="preserve"> approves any sales, advertising, or other promotional materials or representations.</w:t>
      </w:r>
    </w:p>
    <w:p w14:paraId="210FC3F2" w14:textId="0DD3956E" w:rsidR="006E3702" w:rsidRDefault="007C38D2" w:rsidP="006E3702">
      <w:pPr>
        <w:pStyle w:val="ListParagraph"/>
        <w:numPr>
          <w:ilvl w:val="0"/>
          <w:numId w:val="4"/>
        </w:numPr>
        <w:spacing w:after="0" w:line="240" w:lineRule="auto"/>
        <w:ind w:left="1080"/>
        <w:rPr>
          <w:rFonts w:ascii="Calibri" w:hAnsi="Calibri" w:cs="Calibri"/>
          <w:sz w:val="20"/>
          <w:szCs w:val="20"/>
        </w:rPr>
      </w:pPr>
      <w:r>
        <w:rPr>
          <w:rFonts w:ascii="Calibri" w:hAnsi="Calibri" w:cs="Calibri"/>
          <w:sz w:val="20"/>
          <w:szCs w:val="20"/>
        </w:rPr>
        <w:t>A</w:t>
      </w:r>
      <w:r w:rsidR="006E3702" w:rsidRPr="003E255F">
        <w:rPr>
          <w:rFonts w:ascii="Calibri" w:hAnsi="Calibri" w:cs="Calibri"/>
          <w:sz w:val="20"/>
          <w:szCs w:val="20"/>
        </w:rPr>
        <w:t xml:space="preserve">ny </w:t>
      </w:r>
      <w:r w:rsidRPr="003E255F">
        <w:rPr>
          <w:rFonts w:ascii="Calibri" w:hAnsi="Calibri" w:cs="Calibri"/>
          <w:sz w:val="20"/>
          <w:szCs w:val="20"/>
        </w:rPr>
        <w:t>level</w:t>
      </w:r>
      <w:r w:rsidR="006E3702" w:rsidRPr="003E255F">
        <w:rPr>
          <w:rFonts w:ascii="Calibri" w:hAnsi="Calibri" w:cs="Calibri"/>
          <w:sz w:val="20"/>
          <w:szCs w:val="20"/>
        </w:rPr>
        <w:t xml:space="preserve"> of quality or performance of products, services, or anything else is guaranteed or assured by TWQA.</w:t>
      </w:r>
    </w:p>
    <w:p w14:paraId="797F580B" w14:textId="6FB512C1" w:rsidR="003E255F" w:rsidRDefault="007C38D2" w:rsidP="006E3702">
      <w:pPr>
        <w:pStyle w:val="ListParagraph"/>
        <w:numPr>
          <w:ilvl w:val="0"/>
          <w:numId w:val="4"/>
        </w:numPr>
        <w:spacing w:after="0" w:line="240" w:lineRule="auto"/>
        <w:ind w:left="1080"/>
        <w:rPr>
          <w:rFonts w:ascii="Calibri" w:hAnsi="Calibri" w:cs="Calibri"/>
          <w:sz w:val="20"/>
          <w:szCs w:val="20"/>
        </w:rPr>
      </w:pPr>
      <w:r>
        <w:rPr>
          <w:rFonts w:ascii="Calibri" w:hAnsi="Calibri" w:cs="Calibri"/>
          <w:sz w:val="20"/>
          <w:szCs w:val="20"/>
        </w:rPr>
        <w:t>A</w:t>
      </w:r>
      <w:r w:rsidR="003E255F">
        <w:rPr>
          <w:rFonts w:ascii="Calibri" w:hAnsi="Calibri" w:cs="Calibri"/>
          <w:sz w:val="20"/>
          <w:szCs w:val="20"/>
        </w:rPr>
        <w:t xml:space="preserve">ny statements made to customers, consumers, or the </w:t>
      </w:r>
      <w:r>
        <w:rPr>
          <w:rFonts w:ascii="Calibri" w:hAnsi="Calibri" w:cs="Calibri"/>
          <w:sz w:val="20"/>
          <w:szCs w:val="20"/>
        </w:rPr>
        <w:t>public</w:t>
      </w:r>
      <w:r w:rsidR="003E255F">
        <w:rPr>
          <w:rFonts w:ascii="Calibri" w:hAnsi="Calibri" w:cs="Calibri"/>
          <w:sz w:val="20"/>
          <w:szCs w:val="20"/>
        </w:rPr>
        <w:t xml:space="preserve"> are truthful and accurate.</w:t>
      </w:r>
    </w:p>
    <w:p w14:paraId="62710141" w14:textId="69A32681" w:rsidR="003E255F" w:rsidRPr="003E255F" w:rsidRDefault="003E255F" w:rsidP="006E3702">
      <w:pPr>
        <w:pStyle w:val="ListParagraph"/>
        <w:numPr>
          <w:ilvl w:val="0"/>
          <w:numId w:val="4"/>
        </w:numPr>
        <w:spacing w:after="0" w:line="240" w:lineRule="auto"/>
        <w:ind w:left="1080"/>
        <w:rPr>
          <w:rFonts w:ascii="Calibri" w:hAnsi="Calibri" w:cs="Calibri"/>
          <w:sz w:val="20"/>
          <w:szCs w:val="20"/>
        </w:rPr>
      </w:pPr>
      <w:r>
        <w:rPr>
          <w:rFonts w:ascii="Calibri" w:hAnsi="Calibri" w:cs="Calibri"/>
          <w:sz w:val="20"/>
          <w:szCs w:val="20"/>
        </w:rPr>
        <w:t>Anything else beyond identifying the user is a member of TWQA.</w:t>
      </w:r>
    </w:p>
    <w:p w14:paraId="42181E9D" w14:textId="448BFBBD" w:rsidR="003E255F" w:rsidRDefault="003E255F" w:rsidP="00090325">
      <w:pPr>
        <w:pStyle w:val="ListParagraph"/>
        <w:numPr>
          <w:ilvl w:val="0"/>
          <w:numId w:val="1"/>
        </w:numPr>
        <w:spacing w:after="0" w:line="240" w:lineRule="auto"/>
        <w:rPr>
          <w:rFonts w:ascii="Calibri" w:hAnsi="Calibri" w:cs="Calibri"/>
          <w:sz w:val="20"/>
          <w:szCs w:val="20"/>
        </w:rPr>
      </w:pPr>
      <w:r>
        <w:rPr>
          <w:rFonts w:ascii="Calibri" w:hAnsi="Calibri" w:cs="Calibri"/>
          <w:sz w:val="20"/>
          <w:szCs w:val="20"/>
        </w:rPr>
        <w:t xml:space="preserve">Any regular dues-paying member in good standing, including their executives and employees, may use the TWQA Member </w:t>
      </w:r>
      <w:r w:rsidR="00D536C8">
        <w:rPr>
          <w:rFonts w:ascii="Calibri" w:hAnsi="Calibri" w:cs="Calibri"/>
          <w:sz w:val="20"/>
          <w:szCs w:val="20"/>
        </w:rPr>
        <w:t>l</w:t>
      </w:r>
      <w:r>
        <w:rPr>
          <w:rFonts w:ascii="Calibri" w:hAnsi="Calibri" w:cs="Calibri"/>
          <w:sz w:val="20"/>
          <w:szCs w:val="20"/>
        </w:rPr>
        <w:t>ogo.</w:t>
      </w:r>
      <w:r w:rsidR="00D536C8">
        <w:rPr>
          <w:rFonts w:ascii="Calibri" w:hAnsi="Calibri" w:cs="Calibri"/>
          <w:sz w:val="20"/>
          <w:szCs w:val="20"/>
        </w:rPr>
        <w:t xml:space="preserve">  Use of the TWQA logo (as opposed to the TWQA Member logo) is exclusively reserved for the use of the TWQA</w:t>
      </w:r>
      <w:r w:rsidR="00534EE9">
        <w:rPr>
          <w:rFonts w:ascii="Calibri" w:hAnsi="Calibri" w:cs="Calibri"/>
          <w:sz w:val="20"/>
          <w:szCs w:val="20"/>
        </w:rPr>
        <w:t xml:space="preserve"> for the TWQA-designated activities or materials (e.g., TWQA conferences, training materials, etc.).</w:t>
      </w:r>
    </w:p>
    <w:p w14:paraId="2BEFD3FC" w14:textId="7D05C8D0" w:rsidR="00536A31" w:rsidRDefault="003E255F" w:rsidP="00090325">
      <w:pPr>
        <w:pStyle w:val="ListParagraph"/>
        <w:numPr>
          <w:ilvl w:val="0"/>
          <w:numId w:val="1"/>
        </w:numPr>
        <w:spacing w:after="0" w:line="240" w:lineRule="auto"/>
        <w:rPr>
          <w:rFonts w:ascii="Calibri" w:hAnsi="Calibri" w:cs="Calibri"/>
          <w:sz w:val="20"/>
          <w:szCs w:val="20"/>
        </w:rPr>
      </w:pPr>
      <w:r>
        <w:rPr>
          <w:rFonts w:ascii="Calibri" w:hAnsi="Calibri" w:cs="Calibri"/>
          <w:sz w:val="20"/>
          <w:szCs w:val="20"/>
        </w:rPr>
        <w:t>Nonmembers</w:t>
      </w:r>
      <w:r w:rsidR="00536A31">
        <w:rPr>
          <w:rFonts w:ascii="Calibri" w:hAnsi="Calibri" w:cs="Calibri"/>
          <w:sz w:val="20"/>
          <w:szCs w:val="20"/>
        </w:rPr>
        <w:t xml:space="preserve"> or</w:t>
      </w:r>
      <w:r>
        <w:rPr>
          <w:rFonts w:ascii="Calibri" w:hAnsi="Calibri" w:cs="Calibri"/>
          <w:sz w:val="20"/>
          <w:szCs w:val="20"/>
        </w:rPr>
        <w:t xml:space="preserve"> </w:t>
      </w:r>
      <w:r w:rsidR="00536A31">
        <w:rPr>
          <w:rFonts w:ascii="Calibri" w:hAnsi="Calibri" w:cs="Calibri"/>
          <w:sz w:val="20"/>
          <w:szCs w:val="20"/>
        </w:rPr>
        <w:t xml:space="preserve">former (lapsed or otherwise) members </w:t>
      </w:r>
      <w:r w:rsidR="00536A31" w:rsidRPr="004D7B77">
        <w:rPr>
          <w:rFonts w:ascii="Calibri" w:hAnsi="Calibri" w:cs="Calibri"/>
          <w:b/>
          <w:bCs/>
          <w:sz w:val="20"/>
          <w:szCs w:val="20"/>
        </w:rPr>
        <w:t>may not use</w:t>
      </w:r>
      <w:r w:rsidR="00536A31">
        <w:rPr>
          <w:rFonts w:ascii="Calibri" w:hAnsi="Calibri" w:cs="Calibri"/>
          <w:sz w:val="20"/>
          <w:szCs w:val="20"/>
        </w:rPr>
        <w:t xml:space="preserve"> the TWQA or TWQA Member logo</w:t>
      </w:r>
      <w:r w:rsidR="00D536C8">
        <w:rPr>
          <w:rFonts w:ascii="Calibri" w:hAnsi="Calibri" w:cs="Calibri"/>
          <w:sz w:val="20"/>
          <w:szCs w:val="20"/>
        </w:rPr>
        <w:t>s</w:t>
      </w:r>
      <w:r w:rsidR="00536A31">
        <w:rPr>
          <w:rFonts w:ascii="Calibri" w:hAnsi="Calibri" w:cs="Calibri"/>
          <w:sz w:val="20"/>
          <w:szCs w:val="20"/>
        </w:rPr>
        <w:t>.</w:t>
      </w:r>
    </w:p>
    <w:p w14:paraId="132653C1" w14:textId="6987FF16" w:rsidR="00536A31" w:rsidRDefault="00536A31" w:rsidP="00090325">
      <w:pPr>
        <w:pStyle w:val="ListParagraph"/>
        <w:numPr>
          <w:ilvl w:val="0"/>
          <w:numId w:val="1"/>
        </w:numPr>
        <w:spacing w:after="0" w:line="240" w:lineRule="auto"/>
        <w:rPr>
          <w:rFonts w:ascii="Calibri" w:hAnsi="Calibri" w:cs="Calibri"/>
          <w:sz w:val="20"/>
          <w:szCs w:val="20"/>
        </w:rPr>
      </w:pPr>
      <w:r>
        <w:rPr>
          <w:rFonts w:ascii="Calibri" w:hAnsi="Calibri" w:cs="Calibri"/>
          <w:sz w:val="20"/>
          <w:szCs w:val="20"/>
        </w:rPr>
        <w:t xml:space="preserve">The TWQA Member </w:t>
      </w:r>
      <w:r w:rsidR="00D536C8">
        <w:rPr>
          <w:rFonts w:ascii="Calibri" w:hAnsi="Calibri" w:cs="Calibri"/>
          <w:sz w:val="20"/>
          <w:szCs w:val="20"/>
        </w:rPr>
        <w:t>l</w:t>
      </w:r>
      <w:r>
        <w:rPr>
          <w:rFonts w:ascii="Calibri" w:hAnsi="Calibri" w:cs="Calibri"/>
          <w:sz w:val="20"/>
          <w:szCs w:val="20"/>
        </w:rPr>
        <w:t xml:space="preserve">ogo must always be accompanied by the member company name, identification, and company logo.  </w:t>
      </w:r>
      <w:r w:rsidR="003A36F2">
        <w:rPr>
          <w:rFonts w:ascii="Calibri" w:hAnsi="Calibri" w:cs="Calibri"/>
          <w:sz w:val="20"/>
          <w:szCs w:val="20"/>
        </w:rPr>
        <w:t xml:space="preserve">The TWQA Member logo may not be used on clothing, hats, swag, promotional items, merchandise, or other giveaways or sales items.  </w:t>
      </w:r>
      <w:r>
        <w:rPr>
          <w:rFonts w:ascii="Calibri" w:hAnsi="Calibri" w:cs="Calibri"/>
          <w:sz w:val="20"/>
          <w:szCs w:val="20"/>
        </w:rPr>
        <w:t xml:space="preserve">The TWQA Member logo, in combination with this member company information, is </w:t>
      </w:r>
      <w:r w:rsidRPr="00D6688B">
        <w:rPr>
          <w:rFonts w:ascii="Calibri" w:hAnsi="Calibri" w:cs="Calibri"/>
          <w:sz w:val="20"/>
          <w:szCs w:val="20"/>
          <w:u w:val="single"/>
        </w:rPr>
        <w:t>strictly</w:t>
      </w:r>
      <w:r>
        <w:rPr>
          <w:rFonts w:ascii="Calibri" w:hAnsi="Calibri" w:cs="Calibri"/>
          <w:sz w:val="20"/>
          <w:szCs w:val="20"/>
        </w:rPr>
        <w:t xml:space="preserve"> limited to use on:</w:t>
      </w:r>
    </w:p>
    <w:p w14:paraId="39FA368D" w14:textId="6AEFE117" w:rsidR="00536A31" w:rsidRDefault="003A36F2" w:rsidP="00536A31">
      <w:pPr>
        <w:pStyle w:val="ListParagraph"/>
        <w:numPr>
          <w:ilvl w:val="0"/>
          <w:numId w:val="5"/>
        </w:numPr>
        <w:spacing w:after="0" w:line="240" w:lineRule="auto"/>
        <w:ind w:left="1080"/>
        <w:rPr>
          <w:rFonts w:ascii="Calibri" w:hAnsi="Calibri" w:cs="Calibri"/>
          <w:sz w:val="20"/>
          <w:szCs w:val="20"/>
        </w:rPr>
      </w:pPr>
      <w:r>
        <w:rPr>
          <w:rFonts w:ascii="Calibri" w:hAnsi="Calibri" w:cs="Calibri"/>
          <w:sz w:val="20"/>
          <w:szCs w:val="20"/>
        </w:rPr>
        <w:t>Letterhead</w:t>
      </w:r>
    </w:p>
    <w:p w14:paraId="4DC1A69D" w14:textId="69CCEB4B" w:rsidR="003A36F2" w:rsidRDefault="003A36F2" w:rsidP="00536A31">
      <w:pPr>
        <w:pStyle w:val="ListParagraph"/>
        <w:numPr>
          <w:ilvl w:val="0"/>
          <w:numId w:val="5"/>
        </w:numPr>
        <w:spacing w:after="0" w:line="240" w:lineRule="auto"/>
        <w:ind w:left="1080"/>
        <w:rPr>
          <w:rFonts w:ascii="Calibri" w:hAnsi="Calibri" w:cs="Calibri"/>
          <w:sz w:val="20"/>
          <w:szCs w:val="20"/>
        </w:rPr>
      </w:pPr>
      <w:r>
        <w:rPr>
          <w:rFonts w:ascii="Calibri" w:hAnsi="Calibri" w:cs="Calibri"/>
          <w:sz w:val="20"/>
          <w:szCs w:val="20"/>
        </w:rPr>
        <w:t>Business cards</w:t>
      </w:r>
    </w:p>
    <w:p w14:paraId="258ADB6F" w14:textId="45D7BEB6" w:rsidR="003A36F2" w:rsidRDefault="003A36F2" w:rsidP="00536A31">
      <w:pPr>
        <w:pStyle w:val="ListParagraph"/>
        <w:numPr>
          <w:ilvl w:val="0"/>
          <w:numId w:val="5"/>
        </w:numPr>
        <w:spacing w:after="0" w:line="240" w:lineRule="auto"/>
        <w:ind w:left="1080"/>
        <w:rPr>
          <w:rFonts w:ascii="Calibri" w:hAnsi="Calibri" w:cs="Calibri"/>
          <w:sz w:val="20"/>
          <w:szCs w:val="20"/>
        </w:rPr>
      </w:pPr>
      <w:r>
        <w:rPr>
          <w:rFonts w:ascii="Calibri" w:hAnsi="Calibri" w:cs="Calibri"/>
          <w:sz w:val="20"/>
          <w:szCs w:val="20"/>
        </w:rPr>
        <w:t>Company signs</w:t>
      </w:r>
    </w:p>
    <w:p w14:paraId="4D0339EF" w14:textId="668203E6" w:rsidR="003A36F2" w:rsidRDefault="003A36F2" w:rsidP="00536A31">
      <w:pPr>
        <w:pStyle w:val="ListParagraph"/>
        <w:numPr>
          <w:ilvl w:val="0"/>
          <w:numId w:val="5"/>
        </w:numPr>
        <w:spacing w:after="0" w:line="240" w:lineRule="auto"/>
        <w:ind w:left="1080"/>
        <w:rPr>
          <w:rFonts w:ascii="Calibri" w:hAnsi="Calibri" w:cs="Calibri"/>
          <w:sz w:val="20"/>
          <w:szCs w:val="20"/>
        </w:rPr>
      </w:pPr>
      <w:r>
        <w:rPr>
          <w:rFonts w:ascii="Calibri" w:hAnsi="Calibri" w:cs="Calibri"/>
          <w:sz w:val="20"/>
          <w:szCs w:val="20"/>
        </w:rPr>
        <w:t>Company vehicles</w:t>
      </w:r>
    </w:p>
    <w:p w14:paraId="37531384" w14:textId="36E3E774" w:rsidR="003A36F2" w:rsidRDefault="003A36F2" w:rsidP="00536A31">
      <w:pPr>
        <w:pStyle w:val="ListParagraph"/>
        <w:numPr>
          <w:ilvl w:val="0"/>
          <w:numId w:val="5"/>
        </w:numPr>
        <w:spacing w:after="0" w:line="240" w:lineRule="auto"/>
        <w:ind w:left="1080"/>
        <w:rPr>
          <w:rFonts w:ascii="Calibri" w:hAnsi="Calibri" w:cs="Calibri"/>
          <w:sz w:val="20"/>
          <w:szCs w:val="20"/>
        </w:rPr>
      </w:pPr>
      <w:r>
        <w:rPr>
          <w:rFonts w:ascii="Calibri" w:hAnsi="Calibri" w:cs="Calibri"/>
          <w:sz w:val="20"/>
          <w:szCs w:val="20"/>
        </w:rPr>
        <w:t>Other business documents such as invoices, purchase orders, etc.</w:t>
      </w:r>
    </w:p>
    <w:p w14:paraId="38BFE3CB" w14:textId="4F634FF2" w:rsidR="003A36F2" w:rsidRDefault="003A36F2" w:rsidP="00536A31">
      <w:pPr>
        <w:pStyle w:val="ListParagraph"/>
        <w:numPr>
          <w:ilvl w:val="0"/>
          <w:numId w:val="5"/>
        </w:numPr>
        <w:spacing w:after="0" w:line="240" w:lineRule="auto"/>
        <w:ind w:left="1080"/>
        <w:rPr>
          <w:rFonts w:ascii="Calibri" w:hAnsi="Calibri" w:cs="Calibri"/>
          <w:sz w:val="20"/>
          <w:szCs w:val="20"/>
        </w:rPr>
      </w:pPr>
      <w:r>
        <w:rPr>
          <w:rFonts w:ascii="Calibri" w:hAnsi="Calibri" w:cs="Calibri"/>
          <w:sz w:val="20"/>
          <w:szCs w:val="20"/>
        </w:rPr>
        <w:t xml:space="preserve">Product advertising – but </w:t>
      </w:r>
      <w:r w:rsidRPr="003A36F2">
        <w:rPr>
          <w:rFonts w:ascii="Calibri" w:hAnsi="Calibri" w:cs="Calibri"/>
          <w:sz w:val="20"/>
          <w:szCs w:val="20"/>
          <w:u w:val="single"/>
        </w:rPr>
        <w:t>not</w:t>
      </w:r>
      <w:r>
        <w:rPr>
          <w:rFonts w:ascii="Calibri" w:hAnsi="Calibri" w:cs="Calibri"/>
          <w:sz w:val="20"/>
          <w:szCs w:val="20"/>
        </w:rPr>
        <w:t xml:space="preserve"> on a product, a label of a product, or point-of-sale packaging of a product.</w:t>
      </w:r>
    </w:p>
    <w:p w14:paraId="4DF89102" w14:textId="62CB28B4" w:rsidR="006E3702" w:rsidRDefault="003A36F2" w:rsidP="00090325">
      <w:pPr>
        <w:pStyle w:val="ListParagraph"/>
        <w:numPr>
          <w:ilvl w:val="0"/>
          <w:numId w:val="1"/>
        </w:numPr>
        <w:spacing w:after="0" w:line="240" w:lineRule="auto"/>
        <w:rPr>
          <w:rFonts w:ascii="Calibri" w:hAnsi="Calibri" w:cs="Calibri"/>
          <w:sz w:val="20"/>
          <w:szCs w:val="20"/>
        </w:rPr>
      </w:pPr>
      <w:r>
        <w:rPr>
          <w:rFonts w:ascii="Calibri" w:hAnsi="Calibri" w:cs="Calibri"/>
          <w:sz w:val="20"/>
          <w:szCs w:val="20"/>
        </w:rPr>
        <w:t>Logo placement and Size:</w:t>
      </w:r>
      <w:r w:rsidR="003E255F">
        <w:rPr>
          <w:rFonts w:ascii="Calibri" w:hAnsi="Calibri" w:cs="Calibri"/>
          <w:sz w:val="20"/>
          <w:szCs w:val="20"/>
        </w:rPr>
        <w:t xml:space="preserve"> </w:t>
      </w:r>
    </w:p>
    <w:p w14:paraId="238727C9" w14:textId="4BE62685" w:rsidR="003A36F2" w:rsidRDefault="00195D39"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The TWQA Member logo may not be altered in appearance in any way.</w:t>
      </w:r>
    </w:p>
    <w:p w14:paraId="2FB80AD8" w14:textId="02E604E4" w:rsidR="00195D39" w:rsidRDefault="00195D39"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The TWQA Member logo may not be placed on (1) a product or point-of-sale packaging of a product, (2) clothing, hats, swag, promotional items, merchandise, or other giveaways or sales items.</w:t>
      </w:r>
    </w:p>
    <w:p w14:paraId="160D3B37" w14:textId="48A1E955" w:rsidR="00195D39" w:rsidRDefault="00195D39"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 xml:space="preserve">A TWQA member may </w:t>
      </w:r>
      <w:r w:rsidR="00CC5A51">
        <w:rPr>
          <w:rFonts w:ascii="Calibri" w:hAnsi="Calibri" w:cs="Calibri"/>
          <w:sz w:val="20"/>
          <w:szCs w:val="20"/>
        </w:rPr>
        <w:t xml:space="preserve">not </w:t>
      </w:r>
      <w:r>
        <w:rPr>
          <w:rFonts w:ascii="Calibri" w:hAnsi="Calibri" w:cs="Calibri"/>
          <w:sz w:val="20"/>
          <w:szCs w:val="20"/>
        </w:rPr>
        <w:t xml:space="preserve">include, on the product label, the </w:t>
      </w:r>
      <w:r w:rsidR="00CC5A51">
        <w:rPr>
          <w:rFonts w:ascii="Calibri" w:hAnsi="Calibri" w:cs="Calibri"/>
          <w:sz w:val="20"/>
          <w:szCs w:val="20"/>
        </w:rPr>
        <w:t xml:space="preserve">TWQA Member logo </w:t>
      </w:r>
      <w:r w:rsidR="00675BA2">
        <w:rPr>
          <w:rFonts w:ascii="Calibri" w:hAnsi="Calibri" w:cs="Calibri"/>
          <w:sz w:val="20"/>
          <w:szCs w:val="20"/>
        </w:rPr>
        <w:t xml:space="preserve">but may include </w:t>
      </w:r>
      <w:r>
        <w:rPr>
          <w:rFonts w:ascii="Calibri" w:hAnsi="Calibri" w:cs="Calibri"/>
          <w:sz w:val="20"/>
          <w:szCs w:val="20"/>
        </w:rPr>
        <w:t xml:space="preserve">the member company’s name, </w:t>
      </w:r>
      <w:r w:rsidR="00675BA2">
        <w:rPr>
          <w:rFonts w:ascii="Calibri" w:hAnsi="Calibri" w:cs="Calibri"/>
          <w:sz w:val="20"/>
          <w:szCs w:val="20"/>
        </w:rPr>
        <w:t xml:space="preserve">address and other </w:t>
      </w:r>
      <w:r>
        <w:rPr>
          <w:rFonts w:ascii="Calibri" w:hAnsi="Calibri" w:cs="Calibri"/>
          <w:sz w:val="20"/>
          <w:szCs w:val="20"/>
        </w:rPr>
        <w:t>identification information, and its own logo.</w:t>
      </w:r>
    </w:p>
    <w:p w14:paraId="6E17988B" w14:textId="77777777" w:rsidR="00195D39" w:rsidRDefault="00195D39"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The TWQA Member logo must include the word “Member” and the “®” symbol appear with the TWQA logo.</w:t>
      </w:r>
    </w:p>
    <w:p w14:paraId="33EECA66" w14:textId="2154254C" w:rsidR="00195D39" w:rsidRDefault="00195D39"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 xml:space="preserve">The TWQA Member logo must be </w:t>
      </w:r>
      <w:r w:rsidR="00D6688B">
        <w:rPr>
          <w:rFonts w:ascii="Calibri" w:hAnsi="Calibri" w:cs="Calibri"/>
          <w:sz w:val="20"/>
          <w:szCs w:val="20"/>
        </w:rPr>
        <w:t>of</w:t>
      </w:r>
      <w:r>
        <w:rPr>
          <w:rFonts w:ascii="Calibri" w:hAnsi="Calibri" w:cs="Calibri"/>
          <w:sz w:val="20"/>
          <w:szCs w:val="20"/>
        </w:rPr>
        <w:t xml:space="preserve"> secondary importance to </w:t>
      </w:r>
      <w:r w:rsidR="00FC391D">
        <w:rPr>
          <w:rFonts w:ascii="Calibri" w:hAnsi="Calibri" w:cs="Calibri"/>
          <w:sz w:val="20"/>
          <w:szCs w:val="20"/>
        </w:rPr>
        <w:t xml:space="preserve">a </w:t>
      </w:r>
      <w:r>
        <w:rPr>
          <w:rFonts w:ascii="Calibri" w:hAnsi="Calibri" w:cs="Calibri"/>
          <w:sz w:val="20"/>
          <w:szCs w:val="20"/>
        </w:rPr>
        <w:t>member company name and/or logo, either by selecting a smaller overall size or by placing it in an area well removed from member company or member company logo.</w:t>
      </w:r>
    </w:p>
    <w:p w14:paraId="4A47A3D7" w14:textId="77777777" w:rsidR="00195D39" w:rsidRDefault="00195D39"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The TWQA Member logo must be displayed square to the surface on which it is used.  The TWQA Member logo may not be tilted in any way.</w:t>
      </w:r>
    </w:p>
    <w:p w14:paraId="1996FCA8" w14:textId="02422ECF" w:rsidR="00195D39" w:rsidRDefault="00247425"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The placement of the various components of the TWQA Member logo may not be varied.</w:t>
      </w:r>
      <w:r w:rsidR="00195D39">
        <w:rPr>
          <w:rFonts w:ascii="Calibri" w:hAnsi="Calibri" w:cs="Calibri"/>
          <w:sz w:val="20"/>
          <w:szCs w:val="20"/>
        </w:rPr>
        <w:t xml:space="preserve">  </w:t>
      </w:r>
    </w:p>
    <w:p w14:paraId="6D5E3C56" w14:textId="68ED860C" w:rsidR="00247425" w:rsidRDefault="00247425"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The TWQA Member logo may not be displayed with any variation in proportion, typeface, or orientation except in overall size.</w:t>
      </w:r>
    </w:p>
    <w:p w14:paraId="5517F2F5" w14:textId="1D68313E" w:rsidR="00247425" w:rsidRDefault="00247425" w:rsidP="003A36F2">
      <w:pPr>
        <w:pStyle w:val="ListParagraph"/>
        <w:numPr>
          <w:ilvl w:val="0"/>
          <w:numId w:val="6"/>
        </w:numPr>
        <w:spacing w:after="0" w:line="240" w:lineRule="auto"/>
        <w:ind w:left="1080"/>
        <w:rPr>
          <w:rFonts w:ascii="Calibri" w:hAnsi="Calibri" w:cs="Calibri"/>
          <w:sz w:val="20"/>
          <w:szCs w:val="20"/>
        </w:rPr>
      </w:pPr>
      <w:r>
        <w:rPr>
          <w:rFonts w:ascii="Calibri" w:hAnsi="Calibri" w:cs="Calibri"/>
          <w:sz w:val="20"/>
          <w:szCs w:val="20"/>
        </w:rPr>
        <w:t>Correct usage:</w:t>
      </w:r>
    </w:p>
    <w:p w14:paraId="482F6B5F" w14:textId="21A87DAC" w:rsidR="00247425" w:rsidRPr="003E255F" w:rsidRDefault="00247425" w:rsidP="00247425">
      <w:pPr>
        <w:pStyle w:val="ListParagraph"/>
        <w:spacing w:after="0" w:line="240" w:lineRule="auto"/>
        <w:ind w:left="1080"/>
        <w:rPr>
          <w:rFonts w:ascii="Calibri" w:hAnsi="Calibri" w:cs="Calibri"/>
          <w:sz w:val="20"/>
          <w:szCs w:val="20"/>
        </w:rPr>
      </w:pPr>
      <w:r>
        <w:rPr>
          <w:rFonts w:ascii="Calibri" w:hAnsi="Calibri" w:cs="Calibri"/>
          <w:sz w:val="20"/>
          <w:szCs w:val="20"/>
        </w:rPr>
        <w:t xml:space="preserve">Logo: </w:t>
      </w:r>
      <w:r>
        <w:rPr>
          <w:rFonts w:ascii="Calibri" w:hAnsi="Calibri" w:cs="Calibri"/>
          <w:sz w:val="20"/>
          <w:szCs w:val="20"/>
        </w:rPr>
        <w:tab/>
      </w:r>
      <w:r>
        <w:rPr>
          <w:rFonts w:ascii="Calibri" w:hAnsi="Calibri" w:cs="Calibri"/>
          <w:sz w:val="20"/>
          <w:szCs w:val="20"/>
        </w:rPr>
        <w:tab/>
      </w:r>
    </w:p>
    <w:p w14:paraId="4D1C7E2D" w14:textId="6880C859" w:rsidR="00090325" w:rsidRDefault="00247425" w:rsidP="00247425">
      <w:pPr>
        <w:spacing w:after="0" w:line="240" w:lineRule="auto"/>
        <w:ind w:left="630" w:firstLine="2250"/>
        <w:rPr>
          <w:i/>
          <w:iCs/>
          <w:sz w:val="20"/>
          <w:szCs w:val="20"/>
        </w:rPr>
      </w:pPr>
      <w:r>
        <w:rPr>
          <w:noProof/>
        </w:rPr>
        <w:drawing>
          <wp:inline distT="0" distB="0" distL="0" distR="0" wp14:anchorId="2F92FF0F" wp14:editId="029B08DB">
            <wp:extent cx="514350" cy="514350"/>
            <wp:effectExtent l="0" t="0" r="0" b="0"/>
            <wp:docPr id="543787109" name="Picture 1" descr="A blue and red circle with text and a map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71293" name="Picture 1" descr="A blue and red circle with text and a map of texa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35587F8C" w14:textId="77777777" w:rsidR="00247425" w:rsidRDefault="00247425" w:rsidP="00247425">
      <w:pPr>
        <w:spacing w:after="0" w:line="240" w:lineRule="auto"/>
        <w:ind w:firstLine="2250"/>
        <w:rPr>
          <w:i/>
          <w:iCs/>
          <w:sz w:val="20"/>
          <w:szCs w:val="20"/>
        </w:rPr>
      </w:pPr>
    </w:p>
    <w:p w14:paraId="77900EE4" w14:textId="67709822" w:rsidR="003A51D4" w:rsidRDefault="00247425" w:rsidP="00E87CD5">
      <w:pPr>
        <w:tabs>
          <w:tab w:val="left" w:pos="1080"/>
        </w:tabs>
        <w:spacing w:after="0" w:line="240" w:lineRule="auto"/>
        <w:rPr>
          <w:rFonts w:ascii="Calibri" w:hAnsi="Calibri" w:cs="Calibri"/>
          <w:i/>
          <w:iCs/>
          <w:sz w:val="20"/>
          <w:szCs w:val="20"/>
        </w:rPr>
      </w:pPr>
      <w:r>
        <w:rPr>
          <w:i/>
          <w:iCs/>
          <w:sz w:val="20"/>
          <w:szCs w:val="20"/>
        </w:rPr>
        <w:tab/>
      </w:r>
      <w:r>
        <w:rPr>
          <w:sz w:val="20"/>
          <w:szCs w:val="20"/>
        </w:rPr>
        <w:t>Correct Phrase:</w:t>
      </w:r>
      <w:r>
        <w:rPr>
          <w:sz w:val="20"/>
          <w:szCs w:val="20"/>
        </w:rPr>
        <w:tab/>
      </w:r>
      <w:r w:rsidRPr="00247425">
        <w:rPr>
          <w:rFonts w:ascii="Calibri" w:hAnsi="Calibri" w:cs="Calibri"/>
          <w:i/>
          <w:iCs/>
          <w:sz w:val="20"/>
          <w:szCs w:val="20"/>
        </w:rPr>
        <w:t>Member, Texas Water Quality Association</w:t>
      </w:r>
      <w:r w:rsidR="003A51D4">
        <w:rPr>
          <w:rFonts w:ascii="Calibri" w:hAnsi="Calibri" w:cs="Calibri"/>
          <w:i/>
          <w:iCs/>
          <w:sz w:val="20"/>
          <w:szCs w:val="20"/>
        </w:rPr>
        <w:br w:type="page"/>
      </w:r>
    </w:p>
    <w:p w14:paraId="6EF1EA7B" w14:textId="444758E1" w:rsidR="00CA1AC9" w:rsidRPr="00CA1AC9" w:rsidRDefault="00CA1AC9" w:rsidP="00CA1AC9">
      <w:pPr>
        <w:tabs>
          <w:tab w:val="left" w:pos="1080"/>
        </w:tabs>
        <w:spacing w:after="0" w:line="240" w:lineRule="auto"/>
        <w:jc w:val="right"/>
        <w:rPr>
          <w:rFonts w:ascii="Calibri" w:hAnsi="Calibri" w:cs="Calibri"/>
          <w:b/>
          <w:bCs/>
          <w:sz w:val="16"/>
          <w:szCs w:val="16"/>
        </w:rPr>
      </w:pPr>
      <w:r w:rsidRPr="00CA1AC9">
        <w:rPr>
          <w:rFonts w:ascii="Calibri" w:hAnsi="Calibri" w:cs="Calibri"/>
          <w:b/>
          <w:bCs/>
          <w:sz w:val="16"/>
          <w:szCs w:val="16"/>
        </w:rPr>
        <w:lastRenderedPageBreak/>
        <w:t xml:space="preserve">Rev. </w:t>
      </w:r>
      <w:r w:rsidR="009A613A">
        <w:rPr>
          <w:rFonts w:ascii="Calibri" w:hAnsi="Calibri" w:cs="Calibri"/>
          <w:b/>
          <w:bCs/>
          <w:sz w:val="16"/>
          <w:szCs w:val="16"/>
        </w:rPr>
        <w:t>5</w:t>
      </w:r>
      <w:r w:rsidRPr="00CA1AC9">
        <w:rPr>
          <w:rFonts w:ascii="Calibri" w:hAnsi="Calibri" w:cs="Calibri"/>
          <w:b/>
          <w:bCs/>
          <w:sz w:val="16"/>
          <w:szCs w:val="16"/>
        </w:rPr>
        <w:t>/2024</w:t>
      </w:r>
    </w:p>
    <w:p w14:paraId="2507040E" w14:textId="2AF08DCB" w:rsidR="003A51D4" w:rsidRDefault="003A51D4" w:rsidP="003A51D4">
      <w:pPr>
        <w:tabs>
          <w:tab w:val="left" w:pos="1080"/>
        </w:tabs>
        <w:spacing w:after="0" w:line="240" w:lineRule="auto"/>
        <w:jc w:val="center"/>
        <w:rPr>
          <w:rFonts w:ascii="Calibri" w:hAnsi="Calibri" w:cs="Calibri"/>
          <w:b/>
          <w:bCs/>
          <w:sz w:val="36"/>
          <w:szCs w:val="36"/>
        </w:rPr>
      </w:pPr>
      <w:r w:rsidRPr="003A51D4">
        <w:rPr>
          <w:rFonts w:ascii="Calibri" w:hAnsi="Calibri" w:cs="Calibri"/>
          <w:b/>
          <w:bCs/>
          <w:sz w:val="36"/>
          <w:szCs w:val="36"/>
        </w:rPr>
        <w:t>TWQA Code of Ethic</w:t>
      </w:r>
      <w:r w:rsidR="00CA1AC9">
        <w:rPr>
          <w:rFonts w:ascii="Calibri" w:hAnsi="Calibri" w:cs="Calibri"/>
          <w:b/>
          <w:bCs/>
          <w:sz w:val="36"/>
          <w:szCs w:val="36"/>
        </w:rPr>
        <w:t>s</w:t>
      </w:r>
      <w:r w:rsidRPr="003A51D4">
        <w:rPr>
          <w:rFonts w:ascii="Calibri" w:hAnsi="Calibri" w:cs="Calibri"/>
          <w:b/>
          <w:bCs/>
          <w:sz w:val="36"/>
          <w:szCs w:val="36"/>
        </w:rPr>
        <w:t xml:space="preserve"> Commentary</w:t>
      </w:r>
    </w:p>
    <w:p w14:paraId="4F54C115" w14:textId="77777777" w:rsidR="003A51D4" w:rsidRDefault="003A51D4" w:rsidP="003A51D4">
      <w:pPr>
        <w:tabs>
          <w:tab w:val="left" w:pos="1080"/>
        </w:tabs>
        <w:spacing w:after="0" w:line="240" w:lineRule="auto"/>
        <w:jc w:val="center"/>
        <w:rPr>
          <w:rFonts w:ascii="Calibri" w:hAnsi="Calibri" w:cs="Calibri"/>
          <w:b/>
          <w:bCs/>
          <w:sz w:val="36"/>
          <w:szCs w:val="36"/>
        </w:rPr>
      </w:pPr>
    </w:p>
    <w:p w14:paraId="2C2709E1" w14:textId="22265B5A" w:rsidR="003A51D4" w:rsidRDefault="003A51D4" w:rsidP="003A51D4">
      <w:pPr>
        <w:tabs>
          <w:tab w:val="left" w:pos="1080"/>
        </w:tabs>
        <w:spacing w:after="0" w:line="240" w:lineRule="auto"/>
        <w:ind w:left="1080" w:hanging="1080"/>
        <w:rPr>
          <w:rFonts w:ascii="Calibri" w:hAnsi="Calibri" w:cs="Calibri"/>
        </w:rPr>
      </w:pPr>
      <w:r w:rsidRPr="003A51D4">
        <w:rPr>
          <w:rFonts w:ascii="Calibri" w:hAnsi="Calibri" w:cs="Calibri"/>
          <w:b/>
          <w:bCs/>
        </w:rPr>
        <w:t>Rule 1-</w:t>
      </w:r>
      <w:r>
        <w:rPr>
          <w:rFonts w:ascii="Calibri" w:hAnsi="Calibri" w:cs="Calibri"/>
        </w:rPr>
        <w:tab/>
        <w:t xml:space="preserve">Laws </w:t>
      </w:r>
      <w:r w:rsidR="00FD2310">
        <w:rPr>
          <w:rFonts w:ascii="Calibri" w:hAnsi="Calibri" w:cs="Calibri"/>
        </w:rPr>
        <w:t xml:space="preserve">and regulations </w:t>
      </w:r>
      <w:r>
        <w:rPr>
          <w:rFonts w:ascii="Calibri" w:hAnsi="Calibri" w:cs="Calibri"/>
        </w:rPr>
        <w:t xml:space="preserve">relevant to the water quality industry may include but are not limited to laws dealing with restraint of trade, consumer protection, truth in advertising, truth in lending, intellectual property protection, </w:t>
      </w:r>
      <w:r w:rsidR="00FD2310">
        <w:rPr>
          <w:rFonts w:ascii="Calibri" w:hAnsi="Calibri" w:cs="Calibri"/>
        </w:rPr>
        <w:t xml:space="preserve">environmental protection, </w:t>
      </w:r>
      <w:r>
        <w:rPr>
          <w:rFonts w:ascii="Calibri" w:hAnsi="Calibri" w:cs="Calibri"/>
        </w:rPr>
        <w:t xml:space="preserve">sanitation, and effluent </w:t>
      </w:r>
      <w:r w:rsidR="002D066D">
        <w:rPr>
          <w:rFonts w:ascii="Calibri" w:hAnsi="Calibri" w:cs="Calibri"/>
        </w:rPr>
        <w:t xml:space="preserve">and waste </w:t>
      </w:r>
      <w:r>
        <w:rPr>
          <w:rFonts w:ascii="Calibri" w:hAnsi="Calibri" w:cs="Calibri"/>
        </w:rPr>
        <w:t>disposal.  Laws may be federal, state, or local in origin.</w:t>
      </w:r>
    </w:p>
    <w:p w14:paraId="466B9B6E" w14:textId="06814FF4" w:rsidR="003A51D4" w:rsidRDefault="003A51D4" w:rsidP="003A51D4">
      <w:pPr>
        <w:tabs>
          <w:tab w:val="left" w:pos="1080"/>
        </w:tabs>
        <w:spacing w:after="0" w:line="240" w:lineRule="auto"/>
        <w:ind w:left="1080" w:hanging="1080"/>
        <w:rPr>
          <w:rFonts w:ascii="Calibri" w:hAnsi="Calibri" w:cs="Calibri"/>
        </w:rPr>
      </w:pPr>
      <w:r>
        <w:rPr>
          <w:rFonts w:ascii="Calibri" w:hAnsi="Calibri" w:cs="Calibri"/>
          <w:b/>
          <w:bCs/>
        </w:rPr>
        <w:t>Rule 1</w:t>
      </w:r>
      <w:r w:rsidR="00BB2BFD">
        <w:rPr>
          <w:rFonts w:ascii="Calibri" w:hAnsi="Calibri" w:cs="Calibri"/>
          <w:b/>
          <w:bCs/>
        </w:rPr>
        <w:t>9</w:t>
      </w:r>
      <w:r>
        <w:rPr>
          <w:rFonts w:ascii="Calibri" w:hAnsi="Calibri" w:cs="Calibri"/>
          <w:b/>
          <w:bCs/>
        </w:rPr>
        <w:t>-</w:t>
      </w:r>
      <w:r>
        <w:rPr>
          <w:rFonts w:ascii="Calibri" w:hAnsi="Calibri" w:cs="Calibri"/>
          <w:b/>
          <w:bCs/>
        </w:rPr>
        <w:tab/>
      </w:r>
      <w:r>
        <w:rPr>
          <w:rFonts w:ascii="Calibri" w:hAnsi="Calibri" w:cs="Calibri"/>
        </w:rPr>
        <w:t xml:space="preserve">Pertinent federal regulations for warranties and guarantees may be found at the </w:t>
      </w:r>
      <w:r w:rsidRPr="005E16AA">
        <w:rPr>
          <w:rFonts w:ascii="Calibri" w:hAnsi="Calibri" w:cs="Calibri"/>
          <w:i/>
          <w:iCs/>
        </w:rPr>
        <w:t>United States Federal Trade Commission’s Rule on Pre-Sale Availability of Written Warranty Terms</w:t>
      </w:r>
      <w:r>
        <w:rPr>
          <w:rFonts w:ascii="Calibri" w:hAnsi="Calibri" w:cs="Calibri"/>
        </w:rPr>
        <w:t>, 16 CFR 702.1 et seq., effective December 31, 1975</w:t>
      </w:r>
      <w:r w:rsidR="005931F8">
        <w:rPr>
          <w:rFonts w:ascii="Calibri" w:hAnsi="Calibri" w:cs="Calibri"/>
        </w:rPr>
        <w:t>,</w:t>
      </w:r>
      <w:r>
        <w:rPr>
          <w:rFonts w:ascii="Calibri" w:hAnsi="Calibri" w:cs="Calibri"/>
        </w:rPr>
        <w:t xml:space="preserve"> and amended March 12, 1987, and Guides for the Advertising of Warranties and Guarantees, 16 CFR 239.1 et seq., effective May 1, 1985</w:t>
      </w:r>
      <w:r w:rsidR="00116656">
        <w:rPr>
          <w:rFonts w:ascii="Calibri" w:hAnsi="Calibri" w:cs="Calibri"/>
        </w:rPr>
        <w:t xml:space="preserve"> and corrected May 21, 1985, as they may be amended from time to time.</w:t>
      </w:r>
    </w:p>
    <w:p w14:paraId="1FCAA295" w14:textId="4EEEF6D2" w:rsidR="00116656" w:rsidRDefault="00116656" w:rsidP="003A51D4">
      <w:pPr>
        <w:tabs>
          <w:tab w:val="left" w:pos="1080"/>
        </w:tabs>
        <w:spacing w:after="0" w:line="240" w:lineRule="auto"/>
        <w:ind w:left="1080" w:hanging="1080"/>
        <w:rPr>
          <w:rFonts w:ascii="Calibri" w:hAnsi="Calibri" w:cs="Calibri"/>
        </w:rPr>
      </w:pPr>
      <w:r>
        <w:rPr>
          <w:rFonts w:ascii="Calibri" w:hAnsi="Calibri" w:cs="Calibri"/>
          <w:b/>
          <w:bCs/>
        </w:rPr>
        <w:t xml:space="preserve">Rule </w:t>
      </w:r>
      <w:r w:rsidR="00BB2BFD">
        <w:rPr>
          <w:rFonts w:ascii="Calibri" w:hAnsi="Calibri" w:cs="Calibri"/>
          <w:b/>
          <w:bCs/>
        </w:rPr>
        <w:t>20</w:t>
      </w:r>
      <w:r>
        <w:rPr>
          <w:rFonts w:ascii="Calibri" w:hAnsi="Calibri" w:cs="Calibri"/>
          <w:b/>
          <w:bCs/>
        </w:rPr>
        <w:t>-</w:t>
      </w:r>
      <w:r>
        <w:rPr>
          <w:rFonts w:ascii="Calibri" w:hAnsi="Calibri" w:cs="Calibri"/>
        </w:rPr>
        <w:tab/>
        <w:t xml:space="preserve">See </w:t>
      </w:r>
      <w:r w:rsidR="00560663" w:rsidRPr="005E16AA">
        <w:rPr>
          <w:rFonts w:ascii="Calibri" w:hAnsi="Calibri" w:cs="Calibri"/>
          <w:i/>
          <w:iCs/>
        </w:rPr>
        <w:t>United States Federal Trade Commission’s Guides Concerning Use of Endorsements and Testimonial in Advertising</w:t>
      </w:r>
      <w:r w:rsidR="00560663">
        <w:rPr>
          <w:rFonts w:ascii="Calibri" w:hAnsi="Calibri" w:cs="Calibri"/>
        </w:rPr>
        <w:t xml:space="preserve">, 16 CFR 255 et seq., </w:t>
      </w:r>
      <w:r w:rsidR="00652F19">
        <w:rPr>
          <w:rFonts w:ascii="Calibri" w:hAnsi="Calibri" w:cs="Calibri"/>
        </w:rPr>
        <w:t xml:space="preserve">as revised </w:t>
      </w:r>
      <w:r w:rsidR="00560663">
        <w:rPr>
          <w:rFonts w:ascii="Calibri" w:hAnsi="Calibri" w:cs="Calibri"/>
        </w:rPr>
        <w:t xml:space="preserve">effective </w:t>
      </w:r>
      <w:r w:rsidR="00551EB8">
        <w:rPr>
          <w:rFonts w:ascii="Calibri" w:hAnsi="Calibri" w:cs="Calibri"/>
        </w:rPr>
        <w:t>July 26</w:t>
      </w:r>
      <w:r w:rsidR="00DC7D25">
        <w:rPr>
          <w:rFonts w:ascii="Calibri" w:hAnsi="Calibri" w:cs="Calibri"/>
        </w:rPr>
        <w:t>, 2023</w:t>
      </w:r>
      <w:r w:rsidR="00560663">
        <w:rPr>
          <w:rFonts w:ascii="Calibri" w:hAnsi="Calibri" w:cs="Calibri"/>
        </w:rPr>
        <w:t>.</w:t>
      </w:r>
    </w:p>
    <w:p w14:paraId="7C56D8EA" w14:textId="7F803D8B" w:rsidR="00560663" w:rsidRPr="003A51D4" w:rsidRDefault="00560663" w:rsidP="003A51D4">
      <w:pPr>
        <w:tabs>
          <w:tab w:val="left" w:pos="1080"/>
        </w:tabs>
        <w:spacing w:after="0" w:line="240" w:lineRule="auto"/>
        <w:ind w:left="1080" w:hanging="1080"/>
        <w:rPr>
          <w:rFonts w:ascii="Calibri" w:hAnsi="Calibri" w:cs="Calibri"/>
        </w:rPr>
      </w:pPr>
      <w:r>
        <w:rPr>
          <w:rFonts w:ascii="Calibri" w:hAnsi="Calibri" w:cs="Calibri"/>
          <w:b/>
          <w:bCs/>
        </w:rPr>
        <w:t>Rule 2</w:t>
      </w:r>
      <w:r w:rsidR="00BB2BFD">
        <w:rPr>
          <w:rFonts w:ascii="Calibri" w:hAnsi="Calibri" w:cs="Calibri"/>
          <w:b/>
          <w:bCs/>
        </w:rPr>
        <w:t>1</w:t>
      </w:r>
      <w:r>
        <w:rPr>
          <w:rFonts w:ascii="Calibri" w:hAnsi="Calibri" w:cs="Calibri"/>
          <w:b/>
          <w:bCs/>
        </w:rPr>
        <w:t>-</w:t>
      </w:r>
      <w:r>
        <w:rPr>
          <w:rFonts w:ascii="Calibri" w:hAnsi="Calibri" w:cs="Calibri"/>
        </w:rPr>
        <w:tab/>
        <w:t xml:space="preserve">See </w:t>
      </w:r>
      <w:r w:rsidRPr="005E16AA">
        <w:rPr>
          <w:rFonts w:ascii="Calibri" w:hAnsi="Calibri" w:cs="Calibri"/>
          <w:i/>
          <w:iCs/>
        </w:rPr>
        <w:t>United States Federal Trade Commission’s Guides for the Use of Environmental Marketing Claims</w:t>
      </w:r>
      <w:r>
        <w:rPr>
          <w:rFonts w:ascii="Calibri" w:hAnsi="Calibri" w:cs="Calibri"/>
        </w:rPr>
        <w:t xml:space="preserve"> (“Green Guides”), 16 CFR 260 et seq.</w:t>
      </w:r>
      <w:r w:rsidR="00443479">
        <w:rPr>
          <w:rFonts w:ascii="Calibri" w:hAnsi="Calibri" w:cs="Calibri"/>
        </w:rPr>
        <w:t>, with the</w:t>
      </w:r>
      <w:r>
        <w:rPr>
          <w:rFonts w:ascii="Calibri" w:hAnsi="Calibri" w:cs="Calibri"/>
        </w:rPr>
        <w:t xml:space="preserve"> most recent amendments effective Oct</w:t>
      </w:r>
      <w:r w:rsidR="00EC5A98">
        <w:rPr>
          <w:rFonts w:ascii="Calibri" w:hAnsi="Calibri" w:cs="Calibri"/>
        </w:rPr>
        <w:t>ober</w:t>
      </w:r>
      <w:r>
        <w:rPr>
          <w:rFonts w:ascii="Calibri" w:hAnsi="Calibri" w:cs="Calibri"/>
        </w:rPr>
        <w:t xml:space="preserve"> 1, </w:t>
      </w:r>
      <w:r w:rsidR="001F61D2">
        <w:rPr>
          <w:rFonts w:ascii="Calibri" w:hAnsi="Calibri" w:cs="Calibri"/>
        </w:rPr>
        <w:t>2012</w:t>
      </w:r>
      <w:r>
        <w:rPr>
          <w:rFonts w:ascii="Calibri" w:hAnsi="Calibri" w:cs="Calibri"/>
        </w:rPr>
        <w:t>.</w:t>
      </w:r>
    </w:p>
    <w:sectPr w:rsidR="00560663" w:rsidRPr="003A51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E4C7" w14:textId="77777777" w:rsidR="00CC3129" w:rsidRDefault="00CC3129" w:rsidP="00004779">
      <w:pPr>
        <w:spacing w:after="0" w:line="240" w:lineRule="auto"/>
      </w:pPr>
      <w:r>
        <w:separator/>
      </w:r>
    </w:p>
  </w:endnote>
  <w:endnote w:type="continuationSeparator" w:id="0">
    <w:p w14:paraId="73C3183B" w14:textId="77777777" w:rsidR="00CC3129" w:rsidRDefault="00CC3129" w:rsidP="000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in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047F" w14:textId="77777777" w:rsidR="00004779" w:rsidRDefault="00004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2460" w14:textId="77777777" w:rsidR="00004779" w:rsidRDefault="00004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279A" w14:textId="77777777" w:rsidR="00004779" w:rsidRDefault="0000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BF38" w14:textId="77777777" w:rsidR="00CC3129" w:rsidRDefault="00CC3129" w:rsidP="00004779">
      <w:pPr>
        <w:spacing w:after="0" w:line="240" w:lineRule="auto"/>
      </w:pPr>
      <w:r>
        <w:separator/>
      </w:r>
    </w:p>
  </w:footnote>
  <w:footnote w:type="continuationSeparator" w:id="0">
    <w:p w14:paraId="3991E597" w14:textId="77777777" w:rsidR="00CC3129" w:rsidRDefault="00CC3129" w:rsidP="0000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66E5" w14:textId="77777777" w:rsidR="00004779" w:rsidRDefault="00004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5C4B" w14:textId="74449232" w:rsidR="00004779" w:rsidRDefault="00004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23AE" w14:textId="77777777" w:rsidR="00004779" w:rsidRDefault="00004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442"/>
    <w:multiLevelType w:val="hybridMultilevel"/>
    <w:tmpl w:val="A8FEA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551EDD"/>
    <w:multiLevelType w:val="hybridMultilevel"/>
    <w:tmpl w:val="739C9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142E77"/>
    <w:multiLevelType w:val="hybridMultilevel"/>
    <w:tmpl w:val="AFC83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EE0D32"/>
    <w:multiLevelType w:val="hybridMultilevel"/>
    <w:tmpl w:val="EE88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A626AD"/>
    <w:multiLevelType w:val="hybridMultilevel"/>
    <w:tmpl w:val="D3A6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732A16"/>
    <w:multiLevelType w:val="hybridMultilevel"/>
    <w:tmpl w:val="00A88FB0"/>
    <w:lvl w:ilvl="0" w:tplc="DB9455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449856">
    <w:abstractNumId w:val="5"/>
  </w:num>
  <w:num w:numId="2" w16cid:durableId="105540612">
    <w:abstractNumId w:val="3"/>
  </w:num>
  <w:num w:numId="3" w16cid:durableId="1144853332">
    <w:abstractNumId w:val="2"/>
  </w:num>
  <w:num w:numId="4" w16cid:durableId="1305698671">
    <w:abstractNumId w:val="4"/>
  </w:num>
  <w:num w:numId="5" w16cid:durableId="290987737">
    <w:abstractNumId w:val="1"/>
  </w:num>
  <w:num w:numId="6" w16cid:durableId="138290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25"/>
    <w:rsid w:val="00004779"/>
    <w:rsid w:val="000403AF"/>
    <w:rsid w:val="00067DBF"/>
    <w:rsid w:val="00090325"/>
    <w:rsid w:val="000F17D8"/>
    <w:rsid w:val="00116656"/>
    <w:rsid w:val="00195D39"/>
    <w:rsid w:val="001A5659"/>
    <w:rsid w:val="001D5336"/>
    <w:rsid w:val="001F61D2"/>
    <w:rsid w:val="001F62EE"/>
    <w:rsid w:val="00243816"/>
    <w:rsid w:val="00247425"/>
    <w:rsid w:val="002558DE"/>
    <w:rsid w:val="00256D6D"/>
    <w:rsid w:val="00274744"/>
    <w:rsid w:val="002D066D"/>
    <w:rsid w:val="002D4368"/>
    <w:rsid w:val="00377641"/>
    <w:rsid w:val="00384D7E"/>
    <w:rsid w:val="003A36F2"/>
    <w:rsid w:val="003A51D4"/>
    <w:rsid w:val="003E255F"/>
    <w:rsid w:val="00443479"/>
    <w:rsid w:val="004529D9"/>
    <w:rsid w:val="004C6901"/>
    <w:rsid w:val="004D7B77"/>
    <w:rsid w:val="00511B0E"/>
    <w:rsid w:val="00534EE9"/>
    <w:rsid w:val="00536A31"/>
    <w:rsid w:val="00551EB8"/>
    <w:rsid w:val="00560663"/>
    <w:rsid w:val="005727B0"/>
    <w:rsid w:val="005931F8"/>
    <w:rsid w:val="005A6E71"/>
    <w:rsid w:val="005E16AA"/>
    <w:rsid w:val="00640C6E"/>
    <w:rsid w:val="00652F19"/>
    <w:rsid w:val="00675BA2"/>
    <w:rsid w:val="006E3702"/>
    <w:rsid w:val="006F1D9B"/>
    <w:rsid w:val="007C38D2"/>
    <w:rsid w:val="00804D8F"/>
    <w:rsid w:val="00807E12"/>
    <w:rsid w:val="008229FB"/>
    <w:rsid w:val="008279FE"/>
    <w:rsid w:val="008E30D1"/>
    <w:rsid w:val="009540CA"/>
    <w:rsid w:val="009A613A"/>
    <w:rsid w:val="009E4CD9"/>
    <w:rsid w:val="00A00F2C"/>
    <w:rsid w:val="00A10902"/>
    <w:rsid w:val="00A93692"/>
    <w:rsid w:val="00AB7119"/>
    <w:rsid w:val="00AE5B21"/>
    <w:rsid w:val="00BB2BFD"/>
    <w:rsid w:val="00C54571"/>
    <w:rsid w:val="00CA1AC9"/>
    <w:rsid w:val="00CA3315"/>
    <w:rsid w:val="00CB3D67"/>
    <w:rsid w:val="00CC3129"/>
    <w:rsid w:val="00CC5A51"/>
    <w:rsid w:val="00CE0D81"/>
    <w:rsid w:val="00D536C8"/>
    <w:rsid w:val="00D6688B"/>
    <w:rsid w:val="00D90680"/>
    <w:rsid w:val="00DC7D25"/>
    <w:rsid w:val="00E15347"/>
    <w:rsid w:val="00E326C1"/>
    <w:rsid w:val="00E4239C"/>
    <w:rsid w:val="00E87CD5"/>
    <w:rsid w:val="00EC5A98"/>
    <w:rsid w:val="00EE063E"/>
    <w:rsid w:val="00FC391D"/>
    <w:rsid w:val="00FD2310"/>
    <w:rsid w:val="00FF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9C55"/>
  <w15:chartTrackingRefBased/>
  <w15:docId w15:val="{E0783DEC-A945-41F0-BA62-882733A6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325"/>
    <w:rPr>
      <w:rFonts w:eastAsiaTheme="majorEastAsia" w:cstheme="majorBidi"/>
      <w:color w:val="272727" w:themeColor="text1" w:themeTint="D8"/>
    </w:rPr>
  </w:style>
  <w:style w:type="paragraph" w:styleId="Title">
    <w:name w:val="Title"/>
    <w:basedOn w:val="Normal"/>
    <w:next w:val="Normal"/>
    <w:link w:val="TitleChar"/>
    <w:uiPriority w:val="10"/>
    <w:qFormat/>
    <w:rsid w:val="00090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325"/>
    <w:pPr>
      <w:spacing w:before="160"/>
      <w:jc w:val="center"/>
    </w:pPr>
    <w:rPr>
      <w:i/>
      <w:iCs/>
      <w:color w:val="404040" w:themeColor="text1" w:themeTint="BF"/>
    </w:rPr>
  </w:style>
  <w:style w:type="character" w:customStyle="1" w:styleId="QuoteChar">
    <w:name w:val="Quote Char"/>
    <w:basedOn w:val="DefaultParagraphFont"/>
    <w:link w:val="Quote"/>
    <w:uiPriority w:val="29"/>
    <w:rsid w:val="00090325"/>
    <w:rPr>
      <w:i/>
      <w:iCs/>
      <w:color w:val="404040" w:themeColor="text1" w:themeTint="BF"/>
    </w:rPr>
  </w:style>
  <w:style w:type="paragraph" w:styleId="ListParagraph">
    <w:name w:val="List Paragraph"/>
    <w:basedOn w:val="Normal"/>
    <w:uiPriority w:val="34"/>
    <w:qFormat/>
    <w:rsid w:val="00090325"/>
    <w:pPr>
      <w:ind w:left="720"/>
      <w:contextualSpacing/>
    </w:pPr>
  </w:style>
  <w:style w:type="character" w:styleId="IntenseEmphasis">
    <w:name w:val="Intense Emphasis"/>
    <w:basedOn w:val="DefaultParagraphFont"/>
    <w:uiPriority w:val="21"/>
    <w:qFormat/>
    <w:rsid w:val="00090325"/>
    <w:rPr>
      <w:i/>
      <w:iCs/>
      <w:color w:val="0F4761" w:themeColor="accent1" w:themeShade="BF"/>
    </w:rPr>
  </w:style>
  <w:style w:type="paragraph" w:styleId="IntenseQuote">
    <w:name w:val="Intense Quote"/>
    <w:basedOn w:val="Normal"/>
    <w:next w:val="Normal"/>
    <w:link w:val="IntenseQuoteChar"/>
    <w:uiPriority w:val="30"/>
    <w:qFormat/>
    <w:rsid w:val="00090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325"/>
    <w:rPr>
      <w:i/>
      <w:iCs/>
      <w:color w:val="0F4761" w:themeColor="accent1" w:themeShade="BF"/>
    </w:rPr>
  </w:style>
  <w:style w:type="character" w:styleId="IntenseReference">
    <w:name w:val="Intense Reference"/>
    <w:basedOn w:val="DefaultParagraphFont"/>
    <w:uiPriority w:val="32"/>
    <w:qFormat/>
    <w:rsid w:val="00090325"/>
    <w:rPr>
      <w:b/>
      <w:bCs/>
      <w:smallCaps/>
      <w:color w:val="0F4761" w:themeColor="accent1" w:themeShade="BF"/>
      <w:spacing w:val="5"/>
    </w:rPr>
  </w:style>
  <w:style w:type="paragraph" w:styleId="Header">
    <w:name w:val="header"/>
    <w:basedOn w:val="Normal"/>
    <w:link w:val="HeaderChar"/>
    <w:uiPriority w:val="99"/>
    <w:unhideWhenUsed/>
    <w:rsid w:val="0000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779"/>
  </w:style>
  <w:style w:type="paragraph" w:styleId="Footer">
    <w:name w:val="footer"/>
    <w:basedOn w:val="Normal"/>
    <w:link w:val="FooterChar"/>
    <w:uiPriority w:val="99"/>
    <w:unhideWhenUsed/>
    <w:rsid w:val="0000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779"/>
  </w:style>
  <w:style w:type="paragraph" w:styleId="Revision">
    <w:name w:val="Revision"/>
    <w:hidden/>
    <w:uiPriority w:val="99"/>
    <w:semiHidden/>
    <w:rsid w:val="002D4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1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Green</dc:creator>
  <cp:keywords/>
  <dc:description/>
  <cp:lastModifiedBy>Eric Green</cp:lastModifiedBy>
  <cp:revision>2</cp:revision>
  <cp:lastPrinted>2024-04-17T19:57:00Z</cp:lastPrinted>
  <dcterms:created xsi:type="dcterms:W3CDTF">2025-07-28T17:31:00Z</dcterms:created>
  <dcterms:modified xsi:type="dcterms:W3CDTF">2025-07-28T17:31:00Z</dcterms:modified>
</cp:coreProperties>
</file>